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B736D5">
      <w:pPr>
        <w:pStyle w:val="6"/>
        <w:keepNext w:val="0"/>
        <w:keepLines w:val="0"/>
        <w:pageBreakBefore w:val="0"/>
        <w:widowControl w:val="0"/>
        <w:shd w:val="clear" w:color="auto" w:fill="FFFFFF"/>
        <w:kinsoku/>
        <w:wordWrap/>
        <w:overflowPunct/>
        <w:topLinePunct/>
        <w:autoSpaceDE w:val="0"/>
        <w:autoSpaceDN w:val="0"/>
        <w:bidi w:val="0"/>
        <w:adjustRightInd w:val="0"/>
        <w:snapToGrid w:val="0"/>
        <w:spacing w:before="0" w:beforeAutospacing="0" w:after="0" w:afterAutospacing="0" w:line="560" w:lineRule="exact"/>
        <w:jc w:val="center"/>
        <w:textAlignment w:val="auto"/>
        <w:rPr>
          <w:rFonts w:hint="eastAsia" w:ascii="方正小标宋简体" w:hAnsi="方正小标宋简体" w:eastAsia="方正小标宋简体" w:cs="方正小标宋简体"/>
          <w:b/>
          <w:bCs/>
          <w:spacing w:val="7"/>
          <w:sz w:val="40"/>
          <w:szCs w:val="36"/>
        </w:rPr>
      </w:pPr>
      <w:r>
        <w:rPr>
          <w:rFonts w:hint="eastAsia" w:ascii="方正小标宋简体" w:hAnsi="方正小标宋简体" w:eastAsia="方正小标宋简体" w:cs="方正小标宋简体"/>
          <w:b/>
          <w:bCs/>
          <w:spacing w:val="7"/>
          <w:sz w:val="40"/>
          <w:szCs w:val="36"/>
        </w:rPr>
        <w:t>关于开展</w:t>
      </w:r>
      <w:r>
        <w:rPr>
          <w:rFonts w:hint="eastAsia" w:ascii="方正小标宋简体" w:hAnsi="方正小标宋简体" w:eastAsia="方正小标宋简体" w:cs="方正小标宋简体"/>
          <w:b/>
          <w:bCs/>
          <w:spacing w:val="7"/>
          <w:sz w:val="40"/>
          <w:szCs w:val="36"/>
          <w:lang w:val="en-US" w:eastAsia="zh-CN"/>
        </w:rPr>
        <w:t>2025年度</w:t>
      </w:r>
      <w:r>
        <w:rPr>
          <w:rFonts w:hint="eastAsia" w:ascii="方正小标宋简体" w:hAnsi="方正小标宋简体" w:eastAsia="方正小标宋简体" w:cs="方正小标宋简体"/>
          <w:b/>
          <w:bCs/>
          <w:spacing w:val="7"/>
          <w:sz w:val="40"/>
          <w:szCs w:val="36"/>
        </w:rPr>
        <w:t>上海市工程系列</w:t>
      </w:r>
    </w:p>
    <w:p w14:paraId="789BC65A">
      <w:pPr>
        <w:pStyle w:val="6"/>
        <w:keepNext w:val="0"/>
        <w:keepLines w:val="0"/>
        <w:pageBreakBefore w:val="0"/>
        <w:widowControl w:val="0"/>
        <w:shd w:val="clear" w:color="auto" w:fill="FFFFFF"/>
        <w:kinsoku/>
        <w:wordWrap/>
        <w:overflowPunct/>
        <w:topLinePunct/>
        <w:autoSpaceDE w:val="0"/>
        <w:autoSpaceDN w:val="0"/>
        <w:bidi w:val="0"/>
        <w:adjustRightInd w:val="0"/>
        <w:snapToGrid w:val="0"/>
        <w:spacing w:before="0" w:beforeAutospacing="0" w:after="0" w:afterAutospacing="0" w:line="560" w:lineRule="exact"/>
        <w:jc w:val="center"/>
        <w:textAlignment w:val="auto"/>
        <w:rPr>
          <w:rFonts w:hint="eastAsia" w:ascii="方正小标宋简体" w:hAnsi="方正小标宋简体" w:eastAsia="方正小标宋简体" w:cs="方正小标宋简体"/>
          <w:b/>
          <w:bCs/>
          <w:spacing w:val="7"/>
          <w:sz w:val="40"/>
          <w:szCs w:val="36"/>
        </w:rPr>
      </w:pPr>
      <w:r>
        <w:rPr>
          <w:rFonts w:hint="eastAsia" w:ascii="方正小标宋简体" w:hAnsi="方正小标宋简体" w:eastAsia="方正小标宋简体" w:cs="方正小标宋简体"/>
          <w:b/>
          <w:bCs/>
          <w:spacing w:val="7"/>
          <w:sz w:val="40"/>
          <w:szCs w:val="36"/>
        </w:rPr>
        <w:t>交通工程专业中级职称评审工作通知</w:t>
      </w:r>
    </w:p>
    <w:p w14:paraId="2A26C7C9">
      <w:pPr>
        <w:pStyle w:val="6"/>
        <w:keepNext w:val="0"/>
        <w:keepLines w:val="0"/>
        <w:pageBreakBefore w:val="0"/>
        <w:widowControl w:val="0"/>
        <w:shd w:val="clear" w:color="auto" w:fill="FFFFFF"/>
        <w:kinsoku/>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shd w:val="clear" w:color="auto" w:fill="FFFFFF"/>
        </w:rPr>
      </w:pPr>
    </w:p>
    <w:p w14:paraId="5A34572D">
      <w:pPr>
        <w:pStyle w:val="6"/>
        <w:keepNext w:val="0"/>
        <w:keepLines w:val="0"/>
        <w:pageBreakBefore w:val="0"/>
        <w:widowControl w:val="0"/>
        <w:shd w:val="clear" w:color="auto" w:fill="FFFFFF"/>
        <w:kinsoku/>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各有关单位：</w:t>
      </w:r>
      <w:r>
        <w:rPr>
          <w:rFonts w:hint="eastAsia" w:ascii="仿宋" w:hAnsi="仿宋" w:eastAsia="仿宋" w:cs="仿宋"/>
          <w:sz w:val="32"/>
          <w:szCs w:val="32"/>
          <w:shd w:val="clear" w:color="auto" w:fill="FFFFFF"/>
        </w:rPr>
        <w:br w:type="textWrapping"/>
      </w:r>
      <w:r>
        <w:rPr>
          <w:rFonts w:hint="eastAsia" w:ascii="仿宋" w:hAnsi="仿宋" w:eastAsia="仿宋" w:cs="仿宋"/>
          <w:sz w:val="32"/>
          <w:szCs w:val="32"/>
          <w:shd w:val="clear" w:color="auto" w:fill="FFFFFF"/>
        </w:rPr>
        <w:t xml:space="preserve">    为做好202</w:t>
      </w:r>
      <w:r>
        <w:rPr>
          <w:rFonts w:hint="eastAsia" w:ascii="仿宋" w:hAnsi="仿宋" w:eastAsia="仿宋" w:cs="仿宋"/>
          <w:sz w:val="32"/>
          <w:szCs w:val="32"/>
          <w:shd w:val="clear" w:color="auto" w:fill="FFFFFF"/>
          <w:lang w:val="en-US" w:eastAsia="zh-CN"/>
        </w:rPr>
        <w:t>5</w:t>
      </w:r>
      <w:r>
        <w:rPr>
          <w:rFonts w:hint="eastAsia" w:ascii="仿宋" w:hAnsi="仿宋" w:eastAsia="仿宋" w:cs="仿宋"/>
          <w:sz w:val="32"/>
          <w:szCs w:val="32"/>
          <w:shd w:val="clear" w:color="auto" w:fill="FFFFFF"/>
        </w:rPr>
        <w:t>年度上海市工程系列</w:t>
      </w:r>
      <w:r>
        <w:rPr>
          <w:rFonts w:hint="eastAsia" w:ascii="仿宋" w:hAnsi="仿宋" w:eastAsia="仿宋" w:cs="仿宋"/>
          <w:sz w:val="32"/>
          <w:szCs w:val="32"/>
          <w:shd w:val="clear" w:color="auto" w:fill="FFFFFF"/>
          <w:lang w:val="en-US" w:eastAsia="zh-CN"/>
        </w:rPr>
        <w:t>交通工程</w:t>
      </w:r>
      <w:r>
        <w:rPr>
          <w:rFonts w:hint="eastAsia" w:ascii="仿宋" w:hAnsi="仿宋" w:eastAsia="仿宋" w:cs="仿宋"/>
          <w:sz w:val="32"/>
          <w:szCs w:val="32"/>
          <w:shd w:val="clear" w:color="auto" w:fill="FFFFFF"/>
        </w:rPr>
        <w:t>专业</w:t>
      </w:r>
      <w:r>
        <w:rPr>
          <w:rFonts w:hint="eastAsia" w:ascii="仿宋" w:hAnsi="仿宋" w:eastAsia="仿宋" w:cs="仿宋"/>
          <w:sz w:val="32"/>
          <w:szCs w:val="32"/>
          <w:shd w:val="clear" w:color="auto" w:fill="FFFFFF"/>
          <w:lang w:val="en-US" w:eastAsia="zh-CN"/>
        </w:rPr>
        <w:t>中</w:t>
      </w:r>
      <w:r>
        <w:rPr>
          <w:rFonts w:hint="eastAsia" w:ascii="仿宋" w:hAnsi="仿宋" w:eastAsia="仿宋" w:cs="仿宋"/>
          <w:sz w:val="32"/>
          <w:szCs w:val="32"/>
          <w:shd w:val="clear" w:color="auto" w:fill="FFFFFF"/>
        </w:rPr>
        <w:t>级职称评审工作</w:t>
      </w:r>
      <w:r>
        <w:rPr>
          <w:rFonts w:hint="eastAsia" w:ascii="仿宋" w:hAnsi="仿宋" w:eastAsia="仿宋" w:cs="仿宋"/>
          <w:sz w:val="32"/>
          <w:szCs w:val="32"/>
          <w:shd w:val="clear" w:color="auto" w:fill="FFFFFF"/>
          <w:lang w:eastAsia="zh-CN"/>
        </w:rPr>
        <w:t>，</w:t>
      </w:r>
      <w:r>
        <w:rPr>
          <w:rFonts w:hint="eastAsia" w:ascii="仿宋" w:hAnsi="仿宋" w:eastAsia="仿宋" w:cs="仿宋"/>
          <w:sz w:val="32"/>
          <w:szCs w:val="32"/>
          <w:shd w:val="clear" w:color="auto" w:fill="FFFFFF"/>
        </w:rPr>
        <w:t>进一步加强上海交通事业高质量发展，</w:t>
      </w:r>
      <w:r>
        <w:rPr>
          <w:rFonts w:hint="eastAsia" w:ascii="仿宋" w:hAnsi="仿宋" w:eastAsia="仿宋" w:cs="仿宋"/>
          <w:sz w:val="32"/>
          <w:szCs w:val="32"/>
          <w:shd w:val="clear" w:color="auto" w:fill="FFFFFF"/>
          <w:lang w:val="en-US" w:eastAsia="zh-CN"/>
        </w:rPr>
        <w:t>加快建设</w:t>
      </w:r>
      <w:r>
        <w:rPr>
          <w:rFonts w:hint="eastAsia" w:ascii="仿宋" w:hAnsi="仿宋" w:eastAsia="仿宋" w:cs="仿宋"/>
          <w:sz w:val="32"/>
          <w:szCs w:val="32"/>
          <w:shd w:val="clear" w:color="auto" w:fill="FFFFFF"/>
        </w:rPr>
        <w:t>卓越工程师队伍。根据《关于深化工程技术人才职称制度改革的指导意见》（人社部发〔2019〕16号），《上海市职称评审管理办法》（沪人社规〔2021〕30号），《上海市综合交通发展“十四五”规划》等有关文件精神，结合行业实际</w:t>
      </w:r>
      <w:r>
        <w:rPr>
          <w:rFonts w:hint="eastAsia" w:ascii="仿宋" w:hAnsi="仿宋" w:eastAsia="仿宋" w:cs="仿宋"/>
          <w:sz w:val="32"/>
          <w:szCs w:val="32"/>
          <w:shd w:val="clear" w:color="auto" w:fill="FFFFFF"/>
          <w:lang w:eastAsia="zh-CN"/>
        </w:rPr>
        <w:t>，</w:t>
      </w:r>
      <w:r>
        <w:rPr>
          <w:rFonts w:hint="eastAsia" w:ascii="仿宋" w:hAnsi="仿宋" w:eastAsia="仿宋" w:cs="仿宋"/>
          <w:sz w:val="32"/>
          <w:szCs w:val="32"/>
          <w:shd w:val="clear" w:color="auto" w:fill="FFFFFF"/>
        </w:rPr>
        <w:t>现将</w:t>
      </w:r>
      <w:r>
        <w:rPr>
          <w:rFonts w:hint="eastAsia" w:ascii="仿宋" w:hAnsi="仿宋" w:eastAsia="仿宋" w:cs="仿宋"/>
          <w:sz w:val="32"/>
          <w:szCs w:val="32"/>
          <w:shd w:val="clear" w:color="auto" w:fill="FFFFFF"/>
          <w:lang w:val="en-US" w:eastAsia="zh-CN"/>
        </w:rPr>
        <w:t>2025年度</w:t>
      </w:r>
      <w:r>
        <w:rPr>
          <w:rFonts w:hint="eastAsia" w:ascii="仿宋" w:hAnsi="仿宋" w:eastAsia="仿宋" w:cs="仿宋"/>
          <w:sz w:val="32"/>
          <w:szCs w:val="32"/>
          <w:shd w:val="clear" w:color="auto" w:fill="FFFFFF"/>
        </w:rPr>
        <w:t>本市工程系列交通工程专业中级职称评审工作通知如下：</w:t>
      </w:r>
    </w:p>
    <w:p w14:paraId="399C2F05">
      <w:pPr>
        <w:pStyle w:val="6"/>
        <w:keepNext w:val="0"/>
        <w:keepLines w:val="0"/>
        <w:pageBreakBefore w:val="0"/>
        <w:widowControl w:val="0"/>
        <w:shd w:val="clear" w:color="auto" w:fill="FFFFFF"/>
        <w:kinsoku/>
        <w:wordWrap/>
        <w:overflowPunct/>
        <w:topLinePunct/>
        <w:autoSpaceDE w:val="0"/>
        <w:autoSpaceDN w:val="0"/>
        <w:bidi w:val="0"/>
        <w:adjustRightInd w:val="0"/>
        <w:snapToGrid w:val="0"/>
        <w:spacing w:before="0" w:beforeAutospacing="0" w:after="0" w:afterAutospacing="0" w:line="560" w:lineRule="exact"/>
        <w:ind w:firstLine="480"/>
        <w:textAlignment w:val="auto"/>
        <w:rPr>
          <w:rFonts w:hint="eastAsia" w:ascii="黑体" w:hAnsi="黑体" w:eastAsia="黑体" w:cs="黑体"/>
          <w:b/>
          <w:sz w:val="32"/>
          <w:szCs w:val="32"/>
          <w:highlight w:val="none"/>
        </w:rPr>
      </w:pPr>
      <w:r>
        <w:rPr>
          <w:rFonts w:hint="eastAsia" w:ascii="黑体" w:hAnsi="黑体" w:eastAsia="黑体" w:cs="黑体"/>
          <w:b/>
          <w:sz w:val="32"/>
          <w:szCs w:val="32"/>
          <w:highlight w:val="none"/>
        </w:rPr>
        <w:t>一、评审机构和评审重点</w:t>
      </w:r>
    </w:p>
    <w:p w14:paraId="14D605EC">
      <w:pPr>
        <w:pStyle w:val="6"/>
        <w:keepNext w:val="0"/>
        <w:keepLines w:val="0"/>
        <w:pageBreakBefore w:val="0"/>
        <w:widowControl w:val="0"/>
        <w:shd w:val="clear" w:color="auto" w:fill="FFFFFF"/>
        <w:kinsoku/>
        <w:wordWrap w:val="0"/>
        <w:overflowPunct/>
        <w:topLinePunct/>
        <w:autoSpaceDE/>
        <w:autoSpaceDN/>
        <w:bidi w:val="0"/>
        <w:adjustRightInd/>
        <w:snapToGrid/>
        <w:spacing w:before="0" w:beforeAutospacing="0" w:after="0" w:afterAutospacing="0" w:line="560" w:lineRule="exact"/>
        <w:ind w:firstLine="640" w:firstLineChars="20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上海市工程系列交通工程专业中级职称评审委员会（以下简称评委会），评委会办公室设在市交通委</w:t>
      </w:r>
      <w:r>
        <w:rPr>
          <w:rFonts w:hint="eastAsia" w:ascii="仿宋" w:hAnsi="仿宋" w:eastAsia="仿宋" w:cs="仿宋"/>
          <w:sz w:val="32"/>
          <w:szCs w:val="32"/>
          <w:shd w:val="clear" w:color="auto" w:fill="FFFFFF"/>
          <w:lang w:eastAsia="zh-CN"/>
        </w:rPr>
        <w:t>，</w:t>
      </w:r>
      <w:r>
        <w:rPr>
          <w:rFonts w:hint="eastAsia" w:ascii="仿宋" w:hAnsi="仿宋" w:eastAsia="仿宋" w:cs="仿宋"/>
          <w:sz w:val="32"/>
          <w:szCs w:val="32"/>
          <w:shd w:val="clear" w:color="auto" w:fill="FFFFFF"/>
        </w:rPr>
        <w:t>负责本市交通工程领域相关专业中级工程师职称评审工作。</w:t>
      </w:r>
      <w:r>
        <w:rPr>
          <w:rFonts w:hint="eastAsia" w:ascii="仿宋" w:hAnsi="仿宋" w:eastAsia="仿宋" w:cs="仿宋"/>
          <w:sz w:val="32"/>
          <w:szCs w:val="32"/>
          <w:shd w:val="clear" w:color="auto" w:fill="FFFFFF"/>
        </w:rPr>
        <w:br w:type="textWrapping"/>
      </w:r>
      <w:r>
        <w:rPr>
          <w:rFonts w:hint="eastAsia" w:ascii="仿宋" w:hAnsi="仿宋" w:eastAsia="仿宋" w:cs="仿宋"/>
          <w:sz w:val="32"/>
          <w:szCs w:val="32"/>
          <w:shd w:val="clear" w:color="auto" w:fill="FFFFFF"/>
        </w:rPr>
        <w:t xml:space="preserve">    今年评审工作的重点是：大力推进数字化与交通行业深度融合，推动交通设施、出行服务、交通治理等方面的智能化、数字化提升赋能，聚焦超大城市综合交通体系建设，向国际航运、交通规划建设、交通节能降碳、智慧交通等重点领域重大科技创新、重大工程及重点项目急需紧缺的人才适当倾斜。同时，充分发挥人才评价“指挥棒”作用，持续推动职称评审“破四维”和“立新标”的人才评价，充分激发工程技术人才创新创造创业活力。</w:t>
      </w:r>
    </w:p>
    <w:p w14:paraId="1CE6BBBF">
      <w:pPr>
        <w:pStyle w:val="6"/>
        <w:keepNext w:val="0"/>
        <w:keepLines w:val="0"/>
        <w:pageBreakBefore w:val="0"/>
        <w:widowControl w:val="0"/>
        <w:shd w:val="clear" w:color="auto" w:fill="FFFFFF"/>
        <w:kinsoku/>
        <w:wordWrap/>
        <w:overflowPunct/>
        <w:topLinePunct/>
        <w:autoSpaceDE w:val="0"/>
        <w:autoSpaceDN w:val="0"/>
        <w:bidi w:val="0"/>
        <w:adjustRightInd w:val="0"/>
        <w:snapToGrid w:val="0"/>
        <w:spacing w:before="0" w:beforeAutospacing="0" w:after="0" w:afterAutospacing="0" w:line="560" w:lineRule="exact"/>
        <w:ind w:firstLine="480"/>
        <w:textAlignment w:val="auto"/>
        <w:rPr>
          <w:rFonts w:hint="eastAsia" w:ascii="黑体" w:hAnsi="黑体" w:eastAsia="黑体" w:cs="黑体"/>
          <w:b/>
          <w:sz w:val="32"/>
          <w:szCs w:val="32"/>
          <w:highlight w:val="none"/>
        </w:rPr>
      </w:pPr>
      <w:r>
        <w:rPr>
          <w:rFonts w:hint="eastAsia" w:ascii="黑体" w:hAnsi="黑体" w:eastAsia="黑体" w:cs="黑体"/>
          <w:b/>
          <w:sz w:val="32"/>
          <w:szCs w:val="32"/>
          <w:highlight w:val="none"/>
        </w:rPr>
        <w:t>二、申报评审范围</w:t>
      </w:r>
    </w:p>
    <w:p w14:paraId="71F79E56">
      <w:pPr>
        <w:pStyle w:val="6"/>
        <w:keepNext w:val="0"/>
        <w:keepLines w:val="0"/>
        <w:pageBreakBefore w:val="0"/>
        <w:widowControl w:val="0"/>
        <w:shd w:val="clear" w:color="auto" w:fill="FFFFFF"/>
        <w:kinsoku/>
        <w:wordWrap w:val="0"/>
        <w:overflowPunct/>
        <w:topLinePunct/>
        <w:autoSpaceDE/>
        <w:autoSpaceDN/>
        <w:bidi w:val="0"/>
        <w:adjustRightInd/>
        <w:snapToGrid/>
        <w:spacing w:before="0" w:beforeAutospacing="0" w:after="0" w:afterAutospacing="0" w:line="560" w:lineRule="exact"/>
        <w:ind w:firstLine="640" w:firstLineChars="20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评委会下设道路桥隧工程、港航船舶工程、航空工程、轨道(铁路)工程、智能交通、综合交通6个专业学科组。主要评审专业如下：</w:t>
      </w:r>
    </w:p>
    <w:tbl>
      <w:tblPr>
        <w:tblStyle w:val="8"/>
        <w:tblW w:w="99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1"/>
        <w:gridCol w:w="7548"/>
      </w:tblGrid>
      <w:tr w14:paraId="4CA82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exact"/>
          <w:jc w:val="center"/>
        </w:trPr>
        <w:tc>
          <w:tcPr>
            <w:tcW w:w="2361" w:type="dxa"/>
            <w:vAlign w:val="center"/>
          </w:tcPr>
          <w:p w14:paraId="1E1B8B26">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jc w:val="center"/>
              <w:textAlignment w:val="auto"/>
              <w:rPr>
                <w:rFonts w:hint="eastAsia" w:ascii="仿宋" w:hAnsi="仿宋" w:eastAsia="仿宋" w:cs="仿宋"/>
                <w:b/>
                <w:bCs/>
                <w:kern w:val="0"/>
                <w:sz w:val="32"/>
                <w:szCs w:val="32"/>
                <w:shd w:val="clear" w:color="auto" w:fill="FFFFFF"/>
              </w:rPr>
            </w:pPr>
            <w:r>
              <w:rPr>
                <w:rFonts w:hint="eastAsia" w:ascii="仿宋" w:hAnsi="仿宋" w:eastAsia="仿宋" w:cs="仿宋"/>
                <w:b/>
                <w:bCs/>
                <w:kern w:val="0"/>
                <w:sz w:val="32"/>
                <w:szCs w:val="32"/>
                <w:shd w:val="clear" w:color="auto" w:fill="FFFFFF"/>
              </w:rPr>
              <w:t>专业学科组</w:t>
            </w:r>
          </w:p>
        </w:tc>
        <w:tc>
          <w:tcPr>
            <w:tcW w:w="7548" w:type="dxa"/>
            <w:vAlign w:val="center"/>
          </w:tcPr>
          <w:p w14:paraId="6ED4A5B0">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jc w:val="center"/>
              <w:textAlignment w:val="auto"/>
              <w:rPr>
                <w:rFonts w:hint="eastAsia" w:ascii="仿宋" w:hAnsi="仿宋" w:eastAsia="仿宋" w:cs="仿宋"/>
                <w:b/>
                <w:bCs/>
                <w:kern w:val="0"/>
                <w:sz w:val="32"/>
                <w:szCs w:val="32"/>
                <w:shd w:val="clear" w:color="auto" w:fill="FFFFFF"/>
              </w:rPr>
            </w:pPr>
            <w:r>
              <w:rPr>
                <w:rFonts w:hint="eastAsia" w:ascii="仿宋" w:hAnsi="仿宋" w:eastAsia="仿宋" w:cs="仿宋"/>
                <w:b/>
                <w:bCs/>
                <w:kern w:val="0"/>
                <w:sz w:val="32"/>
                <w:szCs w:val="32"/>
                <w:shd w:val="clear" w:color="auto" w:fill="FFFFFF"/>
              </w:rPr>
              <w:t>主要评审专业</w:t>
            </w:r>
          </w:p>
        </w:tc>
      </w:tr>
      <w:tr w14:paraId="071FD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9" w:hRule="exact"/>
          <w:jc w:val="center"/>
        </w:trPr>
        <w:tc>
          <w:tcPr>
            <w:tcW w:w="2361" w:type="dxa"/>
            <w:vAlign w:val="center"/>
          </w:tcPr>
          <w:p w14:paraId="040FB882">
            <w:pPr>
              <w:keepNext w:val="0"/>
              <w:keepLines w:val="0"/>
              <w:pageBreakBefore w:val="0"/>
              <w:widowControl w:val="0"/>
              <w:tabs>
                <w:tab w:val="left" w:pos="703"/>
              </w:tabs>
              <w:kinsoku/>
              <w:wordWrap/>
              <w:overflowPunct/>
              <w:topLinePunct/>
              <w:autoSpaceDE w:val="0"/>
              <w:autoSpaceDN w:val="0"/>
              <w:bidi w:val="0"/>
              <w:adjustRightInd w:val="0"/>
              <w:snapToGrid w:val="0"/>
              <w:spacing w:beforeAutospacing="0" w:afterAutospacing="0" w:line="240" w:lineRule="auto"/>
              <w:jc w:val="center"/>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道路桥隧工程</w:t>
            </w:r>
          </w:p>
        </w:tc>
        <w:tc>
          <w:tcPr>
            <w:tcW w:w="7548" w:type="dxa"/>
            <w:vAlign w:val="center"/>
          </w:tcPr>
          <w:p w14:paraId="0B7EE625">
            <w:pPr>
              <w:keepNext w:val="0"/>
              <w:keepLines w:val="0"/>
              <w:pageBreakBefore w:val="0"/>
              <w:widowControl w:val="0"/>
              <w:tabs>
                <w:tab w:val="left" w:pos="703"/>
                <w:tab w:val="left" w:pos="1042"/>
                <w:tab w:val="center" w:pos="2082"/>
              </w:tabs>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建设工程管理：</w:t>
            </w:r>
            <w:r>
              <w:rPr>
                <w:rFonts w:hint="eastAsia" w:ascii="仿宋" w:hAnsi="仿宋" w:eastAsia="仿宋" w:cs="仿宋"/>
                <w:kern w:val="0"/>
                <w:sz w:val="32"/>
                <w:szCs w:val="32"/>
                <w:shd w:val="clear" w:color="auto" w:fill="FFFFFF"/>
              </w:rPr>
              <w:t>包括道路桥隧工程施工管理、技术管理（含施工监理、试验检测、造价咨询）等；</w:t>
            </w:r>
          </w:p>
          <w:p w14:paraId="5F1B394C">
            <w:pPr>
              <w:keepNext w:val="0"/>
              <w:keepLines w:val="0"/>
              <w:pageBreakBefore w:val="0"/>
              <w:widowControl w:val="0"/>
              <w:tabs>
                <w:tab w:val="left" w:pos="703"/>
                <w:tab w:val="left" w:pos="1042"/>
                <w:tab w:val="center" w:pos="2082"/>
              </w:tabs>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道路桥隧养护：</w:t>
            </w:r>
            <w:r>
              <w:rPr>
                <w:rFonts w:hint="eastAsia" w:ascii="仿宋" w:hAnsi="仿宋" w:eastAsia="仿宋" w:cs="仿宋"/>
                <w:kern w:val="0"/>
                <w:sz w:val="32"/>
                <w:szCs w:val="32"/>
                <w:shd w:val="clear" w:color="auto" w:fill="FFFFFF"/>
              </w:rPr>
              <w:t>包括道路桥隧养护及管理，道路养护机械设备、养护材料、绿化及机电等相关附属设施运行与维护等；</w:t>
            </w:r>
          </w:p>
          <w:p w14:paraId="5F1FA642">
            <w:pPr>
              <w:keepNext w:val="0"/>
              <w:keepLines w:val="0"/>
              <w:pageBreakBefore w:val="0"/>
              <w:widowControl w:val="0"/>
              <w:tabs>
                <w:tab w:val="left" w:pos="703"/>
                <w:tab w:val="left" w:pos="1042"/>
                <w:tab w:val="center" w:pos="2082"/>
              </w:tabs>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交通运营管理：</w:t>
            </w:r>
            <w:r>
              <w:rPr>
                <w:rFonts w:hint="eastAsia" w:ascii="仿宋" w:hAnsi="仿宋" w:eastAsia="仿宋" w:cs="仿宋"/>
                <w:kern w:val="0"/>
                <w:sz w:val="32"/>
                <w:szCs w:val="32"/>
                <w:shd w:val="clear" w:color="auto" w:fill="FFFFFF"/>
              </w:rPr>
              <w:t>包括道路桥隧运营管理、运输安全和应急管理、标准定额、规范编制、科研与技术开发等。</w:t>
            </w:r>
          </w:p>
        </w:tc>
      </w:tr>
      <w:tr w14:paraId="7C6B5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3" w:hRule="exact"/>
          <w:jc w:val="center"/>
        </w:trPr>
        <w:tc>
          <w:tcPr>
            <w:tcW w:w="2361" w:type="dxa"/>
            <w:vAlign w:val="center"/>
          </w:tcPr>
          <w:p w14:paraId="7614C41B">
            <w:pPr>
              <w:keepNext w:val="0"/>
              <w:keepLines w:val="0"/>
              <w:pageBreakBefore w:val="0"/>
              <w:widowControl w:val="0"/>
              <w:tabs>
                <w:tab w:val="left" w:pos="703"/>
                <w:tab w:val="left" w:pos="1042"/>
                <w:tab w:val="center" w:pos="2082"/>
              </w:tabs>
              <w:kinsoku/>
              <w:wordWrap/>
              <w:overflowPunct/>
              <w:topLinePunct/>
              <w:autoSpaceDE w:val="0"/>
              <w:autoSpaceDN w:val="0"/>
              <w:bidi w:val="0"/>
              <w:adjustRightInd w:val="0"/>
              <w:snapToGrid w:val="0"/>
              <w:spacing w:beforeAutospacing="0" w:afterAutospacing="0" w:line="240" w:lineRule="auto"/>
              <w:jc w:val="center"/>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港航船舶工程</w:t>
            </w:r>
          </w:p>
        </w:tc>
        <w:tc>
          <w:tcPr>
            <w:tcW w:w="7548" w:type="dxa"/>
            <w:vAlign w:val="center"/>
          </w:tcPr>
          <w:p w14:paraId="426E6095">
            <w:pPr>
              <w:keepNext w:val="0"/>
              <w:keepLines w:val="0"/>
              <w:pageBreakBefore w:val="0"/>
              <w:widowControl w:val="0"/>
              <w:tabs>
                <w:tab w:val="left" w:pos="703"/>
                <w:tab w:val="left" w:pos="1042"/>
                <w:tab w:val="center" w:pos="2082"/>
              </w:tabs>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港口航道工程：</w:t>
            </w:r>
            <w:r>
              <w:rPr>
                <w:rFonts w:hint="eastAsia" w:ascii="仿宋" w:hAnsi="仿宋" w:eastAsia="仿宋" w:cs="仿宋"/>
                <w:kern w:val="0"/>
                <w:sz w:val="32"/>
                <w:szCs w:val="32"/>
                <w:shd w:val="clear" w:color="auto" w:fill="FFFFFF"/>
              </w:rPr>
              <w:t>包括港口航道工程中的施工管理、技术管理（含施工监理、试验检测、造价咨询等）、运营管理、安全和应急管理、标准定额、规范编制、科研与技术开发等；</w:t>
            </w:r>
          </w:p>
          <w:p w14:paraId="761CB347">
            <w:pPr>
              <w:keepNext w:val="0"/>
              <w:keepLines w:val="0"/>
              <w:pageBreakBefore w:val="0"/>
              <w:widowControl w:val="0"/>
              <w:tabs>
                <w:tab w:val="left" w:pos="703"/>
                <w:tab w:val="left" w:pos="1042"/>
                <w:tab w:val="center" w:pos="2082"/>
              </w:tabs>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船舶工程：</w:t>
            </w:r>
            <w:r>
              <w:rPr>
                <w:rFonts w:hint="eastAsia" w:ascii="仿宋" w:hAnsi="仿宋" w:eastAsia="仿宋" w:cs="仿宋"/>
                <w:kern w:val="0"/>
                <w:sz w:val="32"/>
                <w:szCs w:val="32"/>
                <w:shd w:val="clear" w:color="auto" w:fill="FFFFFF"/>
              </w:rPr>
              <w:t>包括船舶设计审图、建造维修、检验检测，轮机及辅助设备使用维修、防污染设备、电力及自动化系统（设备）、船舶及船用产品检验、船舶节能、设备维修与技术改造、质量检测、船岸通信与导航系统、科研与技术开发等。</w:t>
            </w:r>
          </w:p>
        </w:tc>
      </w:tr>
      <w:tr w14:paraId="5BB6F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7" w:hRule="exact"/>
          <w:jc w:val="center"/>
        </w:trPr>
        <w:tc>
          <w:tcPr>
            <w:tcW w:w="2361" w:type="dxa"/>
            <w:vAlign w:val="center"/>
          </w:tcPr>
          <w:p w14:paraId="541C4799">
            <w:pPr>
              <w:keepNext w:val="0"/>
              <w:keepLines w:val="0"/>
              <w:pageBreakBefore w:val="0"/>
              <w:widowControl w:val="0"/>
              <w:tabs>
                <w:tab w:val="left" w:pos="703"/>
                <w:tab w:val="left" w:pos="1042"/>
                <w:tab w:val="center" w:pos="2082"/>
              </w:tabs>
              <w:kinsoku/>
              <w:wordWrap/>
              <w:overflowPunct/>
              <w:topLinePunct/>
              <w:autoSpaceDE w:val="0"/>
              <w:autoSpaceDN w:val="0"/>
              <w:bidi w:val="0"/>
              <w:adjustRightInd w:val="0"/>
              <w:snapToGrid w:val="0"/>
              <w:spacing w:beforeAutospacing="0" w:afterAutospacing="0" w:line="240" w:lineRule="auto"/>
              <w:jc w:val="center"/>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航空工程</w:t>
            </w:r>
          </w:p>
        </w:tc>
        <w:tc>
          <w:tcPr>
            <w:tcW w:w="7548" w:type="dxa"/>
            <w:vAlign w:val="center"/>
          </w:tcPr>
          <w:p w14:paraId="30CFF53D">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民航机场工程：</w:t>
            </w:r>
            <w:r>
              <w:rPr>
                <w:rFonts w:hint="eastAsia" w:ascii="仿宋" w:hAnsi="仿宋" w:eastAsia="仿宋" w:cs="仿宋"/>
                <w:kern w:val="0"/>
                <w:sz w:val="32"/>
                <w:szCs w:val="32"/>
                <w:shd w:val="clear" w:color="auto" w:fill="FFFFFF"/>
              </w:rPr>
              <w:t>包括机场工程、通用航空等专业的规划咨询、勘察设计、建设管理、运营管理、民航安全、科研与技术开发，专用设施设备研发、应用与运行维护等；</w:t>
            </w:r>
          </w:p>
          <w:p w14:paraId="47F54DBF">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航空机械维修：</w:t>
            </w:r>
            <w:r>
              <w:rPr>
                <w:rFonts w:hint="eastAsia" w:ascii="仿宋" w:hAnsi="仿宋" w:eastAsia="仿宋" w:cs="仿宋"/>
                <w:kern w:val="0"/>
                <w:sz w:val="32"/>
                <w:szCs w:val="32"/>
                <w:shd w:val="clear" w:color="auto" w:fill="FFFFFF"/>
              </w:rPr>
              <w:t>包括民用航空器维修与适航、初始及持续适航管理、科研与技术开发等。</w:t>
            </w:r>
          </w:p>
          <w:p w14:paraId="2E5A3FE7">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lang w:eastAsia="zh-CN"/>
              </w:rPr>
            </w:pPr>
            <w:r>
              <w:rPr>
                <w:rFonts w:hint="eastAsia" w:ascii="仿宋" w:hAnsi="仿宋" w:eastAsia="仿宋" w:cs="仿宋"/>
                <w:b/>
                <w:bCs/>
                <w:kern w:val="0"/>
                <w:sz w:val="32"/>
                <w:szCs w:val="32"/>
                <w:highlight w:val="none"/>
                <w:shd w:val="clear" w:color="auto" w:fill="FFFFFF"/>
                <w:lang w:val="en-US" w:eastAsia="zh-CN"/>
              </w:rPr>
              <w:t>低空经济：</w:t>
            </w:r>
            <w:r>
              <w:rPr>
                <w:rFonts w:hint="eastAsia" w:ascii="仿宋" w:hAnsi="仿宋" w:eastAsia="仿宋" w:cs="仿宋"/>
                <w:kern w:val="0"/>
                <w:sz w:val="32"/>
                <w:szCs w:val="32"/>
                <w:highlight w:val="none"/>
                <w:shd w:val="clear" w:color="auto" w:fill="FFFFFF"/>
                <w:lang w:val="en-US" w:eastAsia="zh-CN"/>
              </w:rPr>
              <w:t>包括城市低空空域网络综合规划与设计、低空空域网络综合仿真验证评估设计、低空民用航空器开发设计与应用、低空飞行综合监管服务系统设计与应用、低空飞行服务方案设计与产品开发、低空经济数据开发与应用、低空经济应用场景商业化方案设计等。</w:t>
            </w:r>
          </w:p>
        </w:tc>
      </w:tr>
      <w:tr w14:paraId="0D048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exact"/>
          <w:jc w:val="center"/>
        </w:trPr>
        <w:tc>
          <w:tcPr>
            <w:tcW w:w="2361" w:type="dxa"/>
            <w:vAlign w:val="center"/>
          </w:tcPr>
          <w:p w14:paraId="6C9FE3BB">
            <w:pPr>
              <w:keepNext w:val="0"/>
              <w:keepLines w:val="0"/>
              <w:pageBreakBefore w:val="0"/>
              <w:widowControl w:val="0"/>
              <w:kinsoku/>
              <w:wordWrap/>
              <w:overflowPunct/>
              <w:topLinePunct/>
              <w:autoSpaceDE w:val="0"/>
              <w:autoSpaceDN w:val="0"/>
              <w:bidi w:val="0"/>
              <w:adjustRightInd w:val="0"/>
              <w:snapToGrid w:val="0"/>
              <w:spacing w:beforeAutospacing="0" w:afterAutospacing="0" w:line="320" w:lineRule="exact"/>
              <w:jc w:val="center"/>
              <w:textAlignment w:val="auto"/>
              <w:rPr>
                <w:rFonts w:hint="eastAsia" w:ascii="仿宋" w:hAnsi="仿宋" w:eastAsia="仿宋" w:cs="仿宋"/>
                <w:b/>
                <w:bCs/>
                <w:kern w:val="0"/>
                <w:sz w:val="32"/>
                <w:szCs w:val="32"/>
                <w:shd w:val="clear" w:color="auto" w:fill="FFFFFF"/>
              </w:rPr>
            </w:pPr>
            <w:r>
              <w:rPr>
                <w:rFonts w:hint="eastAsia" w:ascii="仿宋" w:hAnsi="仿宋" w:eastAsia="仿宋" w:cs="仿宋"/>
                <w:b/>
                <w:bCs/>
                <w:kern w:val="0"/>
                <w:sz w:val="32"/>
                <w:szCs w:val="32"/>
                <w:shd w:val="clear" w:color="auto" w:fill="FFFFFF"/>
              </w:rPr>
              <w:t>专业学科组</w:t>
            </w:r>
          </w:p>
        </w:tc>
        <w:tc>
          <w:tcPr>
            <w:tcW w:w="7548" w:type="dxa"/>
            <w:vAlign w:val="center"/>
          </w:tcPr>
          <w:p w14:paraId="44F5F312">
            <w:pPr>
              <w:keepNext w:val="0"/>
              <w:keepLines w:val="0"/>
              <w:pageBreakBefore w:val="0"/>
              <w:widowControl w:val="0"/>
              <w:kinsoku/>
              <w:wordWrap/>
              <w:overflowPunct/>
              <w:topLinePunct/>
              <w:autoSpaceDE w:val="0"/>
              <w:autoSpaceDN w:val="0"/>
              <w:bidi w:val="0"/>
              <w:adjustRightInd w:val="0"/>
              <w:snapToGrid w:val="0"/>
              <w:spacing w:beforeAutospacing="0" w:afterAutospacing="0" w:line="320" w:lineRule="exact"/>
              <w:jc w:val="center"/>
              <w:textAlignment w:val="auto"/>
              <w:rPr>
                <w:rFonts w:hint="eastAsia" w:ascii="仿宋" w:hAnsi="仿宋" w:eastAsia="仿宋" w:cs="仿宋"/>
                <w:b/>
                <w:bCs/>
                <w:kern w:val="0"/>
                <w:sz w:val="32"/>
                <w:szCs w:val="32"/>
                <w:shd w:val="clear" w:color="auto" w:fill="FFFFFF"/>
              </w:rPr>
            </w:pPr>
            <w:r>
              <w:rPr>
                <w:rFonts w:hint="eastAsia" w:ascii="仿宋" w:hAnsi="仿宋" w:eastAsia="仿宋" w:cs="仿宋"/>
                <w:b/>
                <w:bCs/>
                <w:kern w:val="0"/>
                <w:sz w:val="32"/>
                <w:szCs w:val="32"/>
                <w:shd w:val="clear" w:color="auto" w:fill="FFFFFF"/>
              </w:rPr>
              <w:t>主要评审专业</w:t>
            </w:r>
          </w:p>
        </w:tc>
      </w:tr>
      <w:tr w14:paraId="63386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3" w:hRule="exact"/>
          <w:jc w:val="center"/>
        </w:trPr>
        <w:tc>
          <w:tcPr>
            <w:tcW w:w="2361" w:type="dxa"/>
            <w:vAlign w:val="center"/>
          </w:tcPr>
          <w:p w14:paraId="43192F05">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jc w:val="center"/>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轨道(铁路)工程</w:t>
            </w:r>
          </w:p>
        </w:tc>
        <w:tc>
          <w:tcPr>
            <w:tcW w:w="7548" w:type="dxa"/>
            <w:vAlign w:val="center"/>
          </w:tcPr>
          <w:p w14:paraId="484BFB02">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轨道（铁路）工程：</w:t>
            </w:r>
            <w:r>
              <w:rPr>
                <w:rFonts w:hint="eastAsia" w:ascii="仿宋" w:hAnsi="仿宋" w:eastAsia="仿宋" w:cs="仿宋"/>
                <w:kern w:val="0"/>
                <w:sz w:val="32"/>
                <w:szCs w:val="32"/>
                <w:shd w:val="clear" w:color="auto" w:fill="FFFFFF"/>
              </w:rPr>
              <w:t>包括轨道（铁路）土建、计划、工程管理、机电管理、线路维护等；</w:t>
            </w:r>
          </w:p>
          <w:p w14:paraId="41218EB8">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轨道（铁路）设施设备：</w:t>
            </w:r>
            <w:r>
              <w:rPr>
                <w:rFonts w:hint="eastAsia" w:ascii="仿宋" w:hAnsi="仿宋" w:eastAsia="仿宋" w:cs="仿宋"/>
                <w:kern w:val="0"/>
                <w:sz w:val="32"/>
                <w:szCs w:val="32"/>
                <w:shd w:val="clear" w:color="auto" w:fill="FFFFFF"/>
              </w:rPr>
              <w:t>包括轨道（铁路）车辆、通信、信号、供电、综合监控、火灾报警、BAS、机电设备监控、自动售检票等专业运维、研发设计生产等；</w:t>
            </w:r>
          </w:p>
          <w:p w14:paraId="6AA3E9A7">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轨道（铁路）运营技术管理：</w:t>
            </w:r>
            <w:r>
              <w:rPr>
                <w:rFonts w:hint="eastAsia" w:ascii="仿宋" w:hAnsi="仿宋" w:eastAsia="仿宋" w:cs="仿宋"/>
                <w:kern w:val="0"/>
                <w:sz w:val="32"/>
                <w:szCs w:val="32"/>
                <w:shd w:val="clear" w:color="auto" w:fill="FFFFFF"/>
              </w:rPr>
              <w:t>包括轨道交通行车、客运管理、安全管理等。</w:t>
            </w:r>
          </w:p>
        </w:tc>
      </w:tr>
      <w:tr w14:paraId="123F2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7" w:hRule="exact"/>
          <w:jc w:val="center"/>
        </w:trPr>
        <w:tc>
          <w:tcPr>
            <w:tcW w:w="2361" w:type="dxa"/>
            <w:vAlign w:val="center"/>
          </w:tcPr>
          <w:p w14:paraId="04C7A035">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jc w:val="center"/>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智能交通</w:t>
            </w:r>
          </w:p>
        </w:tc>
        <w:tc>
          <w:tcPr>
            <w:tcW w:w="7548" w:type="dxa"/>
            <w:vAlign w:val="center"/>
          </w:tcPr>
          <w:p w14:paraId="738D9BB4">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智能交通：</w:t>
            </w:r>
            <w:r>
              <w:rPr>
                <w:rFonts w:hint="eastAsia" w:ascii="仿宋" w:hAnsi="仿宋" w:eastAsia="仿宋" w:cs="仿宋"/>
                <w:kern w:val="0"/>
                <w:sz w:val="32"/>
                <w:szCs w:val="32"/>
                <w:shd w:val="clear" w:color="auto" w:fill="FFFFFF"/>
              </w:rPr>
              <w:t>包括智能交通规划设计、建设、车路协同、智慧交通服务、智能交通管控、网络信息安全等科研、开发、应用与运行维护等；</w:t>
            </w:r>
          </w:p>
          <w:p w14:paraId="29C73E9B">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绿色交通：</w:t>
            </w:r>
            <w:r>
              <w:rPr>
                <w:rFonts w:hint="eastAsia" w:ascii="仿宋" w:hAnsi="仿宋" w:eastAsia="仿宋" w:cs="仿宋"/>
                <w:kern w:val="0"/>
                <w:sz w:val="32"/>
                <w:szCs w:val="32"/>
                <w:shd w:val="clear" w:color="auto" w:fill="FFFFFF"/>
              </w:rPr>
              <w:t>包括交通节能减排等；</w:t>
            </w:r>
          </w:p>
          <w:p w14:paraId="686BB1BB">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快递工程技术：</w:t>
            </w:r>
            <w:r>
              <w:rPr>
                <w:rFonts w:hint="eastAsia" w:ascii="仿宋" w:hAnsi="仿宋" w:eastAsia="仿宋" w:cs="仿宋"/>
                <w:kern w:val="0"/>
                <w:sz w:val="32"/>
                <w:szCs w:val="32"/>
                <w:shd w:val="clear" w:color="auto" w:fill="FFFFFF"/>
              </w:rPr>
              <w:t>包括快递网络工程、快递设备工程、快递信息工程等；</w:t>
            </w:r>
          </w:p>
        </w:tc>
      </w:tr>
      <w:tr w14:paraId="57C6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5" w:hRule="exact"/>
          <w:jc w:val="center"/>
        </w:trPr>
        <w:tc>
          <w:tcPr>
            <w:tcW w:w="2361" w:type="dxa"/>
            <w:vAlign w:val="center"/>
          </w:tcPr>
          <w:p w14:paraId="4637F40A">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jc w:val="center"/>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综合交通</w:t>
            </w:r>
          </w:p>
        </w:tc>
        <w:tc>
          <w:tcPr>
            <w:tcW w:w="7548" w:type="dxa"/>
            <w:vAlign w:val="center"/>
          </w:tcPr>
          <w:p w14:paraId="504E2069">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交通规划设计：</w:t>
            </w:r>
            <w:r>
              <w:rPr>
                <w:rFonts w:hint="eastAsia" w:ascii="仿宋" w:hAnsi="仿宋" w:eastAsia="仿宋" w:cs="仿宋"/>
                <w:kern w:val="0"/>
                <w:sz w:val="32"/>
                <w:szCs w:val="32"/>
                <w:shd w:val="clear" w:color="auto" w:fill="FFFFFF"/>
              </w:rPr>
              <w:t>包括道路、桥梁隧道、场站枢纽、公交、港口航道、轨道（铁路）等领域及两种以上交通方式的规划、勘测设计、线路设计、技术咨询等；</w:t>
            </w:r>
          </w:p>
          <w:p w14:paraId="689A568C">
            <w:pPr>
              <w:keepNext w:val="0"/>
              <w:keepLines w:val="0"/>
              <w:pageBreakBefore w:val="0"/>
              <w:widowControl w:val="0"/>
              <w:kinsoku/>
              <w:wordWrap/>
              <w:overflowPunct/>
              <w:topLinePunct/>
              <w:autoSpaceDE w:val="0"/>
              <w:autoSpaceDN w:val="0"/>
              <w:bidi w:val="0"/>
              <w:adjustRightInd w:val="0"/>
              <w:snapToGrid w:val="0"/>
              <w:spacing w:beforeAutospacing="0" w:afterAutospacing="0" w:line="240" w:lineRule="auto"/>
              <w:textAlignment w:val="auto"/>
              <w:rPr>
                <w:rFonts w:hint="eastAsia" w:ascii="仿宋" w:hAnsi="仿宋" w:eastAsia="仿宋" w:cs="仿宋"/>
                <w:kern w:val="0"/>
                <w:sz w:val="32"/>
                <w:szCs w:val="32"/>
                <w:shd w:val="clear" w:color="auto" w:fill="FFFFFF"/>
              </w:rPr>
            </w:pPr>
            <w:r>
              <w:rPr>
                <w:rFonts w:hint="eastAsia" w:ascii="仿宋" w:hAnsi="仿宋" w:eastAsia="仿宋" w:cs="仿宋"/>
                <w:b/>
                <w:bCs/>
                <w:kern w:val="0"/>
                <w:sz w:val="32"/>
                <w:szCs w:val="32"/>
                <w:shd w:val="clear" w:color="auto" w:fill="FFFFFF"/>
              </w:rPr>
              <w:t>综合交通工程：</w:t>
            </w:r>
            <w:r>
              <w:rPr>
                <w:rFonts w:hint="eastAsia" w:ascii="仿宋" w:hAnsi="仿宋" w:eastAsia="仿宋" w:cs="仿宋"/>
                <w:kern w:val="0"/>
                <w:sz w:val="32"/>
                <w:szCs w:val="32"/>
                <w:shd w:val="clear" w:color="auto" w:fill="FFFFFF"/>
              </w:rPr>
              <w:t>包括涉及公路、铁路、水运、航空等两种以上交通方式的建设管理、运营养护等。</w:t>
            </w:r>
          </w:p>
        </w:tc>
      </w:tr>
    </w:tbl>
    <w:p w14:paraId="0899B4A6">
      <w:pPr>
        <w:pStyle w:val="6"/>
        <w:keepNext w:val="0"/>
        <w:keepLines w:val="0"/>
        <w:pageBreakBefore w:val="0"/>
        <w:widowControl w:val="0"/>
        <w:numPr>
          <w:ilvl w:val="0"/>
          <w:numId w:val="1"/>
        </w:numPr>
        <w:shd w:val="clear" w:color="auto" w:fill="FFFFFF"/>
        <w:kinsoku/>
        <w:wordWrap/>
        <w:overflowPunct/>
        <w:topLinePunct/>
        <w:autoSpaceDE w:val="0"/>
        <w:autoSpaceDN w:val="0"/>
        <w:bidi w:val="0"/>
        <w:adjustRightInd w:val="0"/>
        <w:snapToGrid w:val="0"/>
        <w:spacing w:before="0" w:beforeAutospacing="0" w:after="0" w:afterAutospacing="0" w:line="560" w:lineRule="exact"/>
        <w:ind w:firstLine="643" w:firstLineChars="200"/>
        <w:textAlignment w:val="auto"/>
        <w:rPr>
          <w:rFonts w:hint="eastAsia" w:ascii="黑体" w:hAnsi="黑体" w:eastAsia="黑体" w:cs="黑体"/>
          <w:b/>
          <w:sz w:val="32"/>
          <w:szCs w:val="32"/>
          <w:highlight w:val="none"/>
        </w:rPr>
      </w:pPr>
      <w:r>
        <w:rPr>
          <w:rFonts w:hint="eastAsia" w:ascii="黑体" w:hAnsi="黑体" w:eastAsia="黑体" w:cs="黑体"/>
          <w:b/>
          <w:sz w:val="32"/>
          <w:szCs w:val="32"/>
          <w:highlight w:val="none"/>
        </w:rPr>
        <w:t>申报条件和要求</w:t>
      </w:r>
    </w:p>
    <w:p w14:paraId="4981EE9C">
      <w:pPr>
        <w:pStyle w:val="6"/>
        <w:keepNext w:val="0"/>
        <w:keepLines w:val="0"/>
        <w:pageBreakBefore w:val="0"/>
        <w:widowControl w:val="0"/>
        <w:numPr>
          <w:ilvl w:val="0"/>
          <w:numId w:val="0"/>
        </w:numPr>
        <w:shd w:val="clear" w:color="auto" w:fill="FFFFFF"/>
        <w:kinsoku/>
        <w:wordWrap/>
        <w:overflowPunct/>
        <w:topLinePunct/>
        <w:autoSpaceDE w:val="0"/>
        <w:autoSpaceDN w:val="0"/>
        <w:bidi w:val="0"/>
        <w:adjustRightInd w:val="0"/>
        <w:snapToGrid w:val="0"/>
        <w:spacing w:before="0" w:beforeAutospacing="0" w:after="0" w:afterAutospacing="0" w:line="560" w:lineRule="exact"/>
        <w:ind w:firstLine="643" w:firstLineChars="200"/>
        <w:textAlignment w:val="auto"/>
        <w:rPr>
          <w:rFonts w:hint="eastAsia" w:ascii="楷体" w:hAnsi="楷体" w:eastAsia="楷体" w:cs="楷体"/>
          <w:b/>
          <w:sz w:val="32"/>
          <w:szCs w:val="32"/>
        </w:rPr>
      </w:pPr>
      <w:r>
        <w:rPr>
          <w:rFonts w:hint="eastAsia" w:ascii="楷体" w:hAnsi="楷体" w:eastAsia="楷体" w:cs="楷体"/>
          <w:b/>
          <w:sz w:val="32"/>
          <w:szCs w:val="32"/>
        </w:rPr>
        <w:t>（一）基本条件</w:t>
      </w:r>
    </w:p>
    <w:p w14:paraId="64F741E7">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　　遵守宪法和国家法律、法规，恪守职业道德，具有良好的职业操守和从业行为。无不良诚信记录，无尚在有效期内的行政处罚。</w:t>
      </w:r>
    </w:p>
    <w:p w14:paraId="4D624F11">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楷体" w:hAnsi="楷体" w:eastAsia="楷体" w:cs="楷体"/>
          <w:b/>
          <w:sz w:val="32"/>
          <w:szCs w:val="32"/>
        </w:rPr>
      </w:pPr>
      <w:r>
        <w:rPr>
          <w:rFonts w:hint="eastAsia" w:ascii="楷体" w:hAnsi="楷体" w:eastAsia="楷体" w:cs="楷体"/>
          <w:b/>
          <w:sz w:val="32"/>
          <w:szCs w:val="32"/>
        </w:rPr>
        <w:t>　　（二）岗位条件</w:t>
      </w:r>
    </w:p>
    <w:p w14:paraId="71F39A54">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b/>
          <w:sz w:val="32"/>
          <w:szCs w:val="32"/>
          <w:shd w:val="clear" w:color="auto" w:fill="FFFFFF"/>
        </w:rPr>
        <w:t xml:space="preserve">    </w:t>
      </w:r>
      <w:r>
        <w:rPr>
          <w:rFonts w:hint="eastAsia" w:ascii="仿宋" w:hAnsi="仿宋" w:eastAsia="仿宋" w:cs="仿宋"/>
          <w:sz w:val="32"/>
          <w:szCs w:val="32"/>
        </w:rPr>
        <w:t>1、在本市企事业单位和社会组织相应专业技术岗位上工作的在职专业技术人员，至当年度申报截止日符合以下条件之一的，可以在本市申报职称：</w:t>
      </w:r>
    </w:p>
    <w:p w14:paraId="08CB70AE">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（1）具有本市户籍；</w:t>
      </w:r>
    </w:p>
    <w:p w14:paraId="07E5C8AC">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（2）持有有效期内的《上海市居住证》；</w:t>
      </w:r>
    </w:p>
    <w:p w14:paraId="50CAA1E6">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（3）近2年内在本市累计缴纳社会保险满12个月。</w:t>
      </w:r>
    </w:p>
    <w:p w14:paraId="41F16E93">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、以下情况不在申报范围之内：</w:t>
      </w:r>
    </w:p>
    <w:p w14:paraId="633A8B8C">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 xml:space="preserve">    （1）已办理退休手续的人员、当年度拟办理退休手续（包括弹性退休、法定退休）的人员不属于申报范围。实施渐进式延迟退休政策后，因退休年龄问题影响到职称和职业资格、专业技术职务以及相关的工资待遇等，由本人负责</w:t>
      </w:r>
      <w:r>
        <w:rPr>
          <w:rFonts w:hint="eastAsia" w:ascii="仿宋" w:hAnsi="仿宋" w:eastAsia="仿宋" w:cs="仿宋"/>
          <w:sz w:val="32"/>
          <w:szCs w:val="32"/>
          <w:highlight w:val="none"/>
          <w:lang w:eastAsia="zh-CN"/>
        </w:rPr>
        <w:t>；</w:t>
      </w:r>
    </w:p>
    <w:p w14:paraId="1FBC9335">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（2）上一年度未通过评审人员（本年度有突出业绩和重大贡献者除外）。</w:t>
      </w:r>
    </w:p>
    <w:p w14:paraId="7B337A32">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楷体" w:hAnsi="楷体" w:eastAsia="楷体" w:cs="楷体"/>
          <w:b/>
          <w:sz w:val="32"/>
          <w:szCs w:val="32"/>
        </w:rPr>
      </w:pPr>
      <w:r>
        <w:rPr>
          <w:rFonts w:hint="eastAsia" w:ascii="楷体" w:hAnsi="楷体" w:eastAsia="楷体" w:cs="楷体"/>
          <w:b/>
          <w:sz w:val="32"/>
          <w:szCs w:val="32"/>
        </w:rPr>
        <w:t xml:space="preserve">    （三）学历、资历要求</w:t>
      </w:r>
    </w:p>
    <w:p w14:paraId="2442B227">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　　1、</w:t>
      </w:r>
      <w:r>
        <w:rPr>
          <w:rFonts w:hint="eastAsia" w:ascii="仿宋" w:hAnsi="仿宋" w:eastAsia="仿宋" w:cs="仿宋"/>
          <w:sz w:val="32"/>
          <w:szCs w:val="32"/>
        </w:rPr>
        <w:t>具备</w:t>
      </w:r>
      <w:r>
        <w:rPr>
          <w:rFonts w:hint="eastAsia" w:ascii="仿宋" w:hAnsi="仿宋" w:eastAsia="仿宋" w:cs="仿宋"/>
          <w:sz w:val="32"/>
          <w:szCs w:val="32"/>
          <w:shd w:val="clear" w:color="auto" w:fill="FFFFFF"/>
        </w:rPr>
        <w:t>理工类相关专业博士学位，经单位考核合格。</w:t>
      </w:r>
    </w:p>
    <w:p w14:paraId="455A16D1">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　　2、</w:t>
      </w:r>
      <w:r>
        <w:rPr>
          <w:rFonts w:hint="eastAsia" w:ascii="仿宋" w:hAnsi="仿宋" w:eastAsia="仿宋" w:cs="仿宋"/>
          <w:sz w:val="32"/>
          <w:szCs w:val="32"/>
        </w:rPr>
        <w:t>具备</w:t>
      </w:r>
      <w:r>
        <w:rPr>
          <w:rFonts w:hint="eastAsia" w:ascii="仿宋" w:hAnsi="仿宋" w:eastAsia="仿宋" w:cs="仿宋"/>
          <w:sz w:val="32"/>
          <w:szCs w:val="32"/>
          <w:shd w:val="clear" w:color="auto" w:fill="FFFFFF"/>
        </w:rPr>
        <w:t>理工类相关专业硕士研究生学历，聘任助理工程师职务满2年以上。</w:t>
      </w:r>
    </w:p>
    <w:p w14:paraId="2D272952">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3、</w:t>
      </w:r>
      <w:r>
        <w:rPr>
          <w:rFonts w:hint="eastAsia" w:ascii="仿宋" w:hAnsi="仿宋" w:eastAsia="仿宋" w:cs="仿宋"/>
          <w:sz w:val="32"/>
          <w:szCs w:val="32"/>
        </w:rPr>
        <w:t>具备</w:t>
      </w:r>
      <w:r>
        <w:rPr>
          <w:rFonts w:hint="eastAsia" w:ascii="仿宋" w:hAnsi="仿宋" w:eastAsia="仿宋" w:cs="仿宋"/>
          <w:sz w:val="32"/>
          <w:szCs w:val="32"/>
          <w:shd w:val="clear" w:color="auto" w:fill="FFFFFF"/>
        </w:rPr>
        <w:t>理工类相关专业大学本科或专科学历，聘任助理工程师职务满4年以上。</w:t>
      </w:r>
    </w:p>
    <w:p w14:paraId="7BE76CE9">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643" w:firstLineChars="200"/>
        <w:textAlignment w:val="auto"/>
        <w:rPr>
          <w:rFonts w:hint="eastAsia" w:ascii="楷体" w:hAnsi="楷体" w:eastAsia="楷体" w:cs="楷体"/>
          <w:b/>
          <w:sz w:val="32"/>
          <w:szCs w:val="32"/>
          <w:lang w:val="en-US" w:eastAsia="zh-CN"/>
        </w:rPr>
      </w:pPr>
      <w:r>
        <w:rPr>
          <w:rFonts w:hint="eastAsia" w:ascii="楷体" w:hAnsi="楷体" w:eastAsia="楷体" w:cs="楷体"/>
          <w:b/>
          <w:sz w:val="32"/>
          <w:szCs w:val="32"/>
          <w:lang w:eastAsia="zh-CN"/>
        </w:rPr>
        <w:t>（</w:t>
      </w:r>
      <w:r>
        <w:rPr>
          <w:rFonts w:hint="eastAsia" w:ascii="楷体" w:hAnsi="楷体" w:eastAsia="楷体" w:cs="楷体"/>
          <w:b/>
          <w:sz w:val="32"/>
          <w:szCs w:val="32"/>
          <w:lang w:val="en-US" w:eastAsia="zh-CN"/>
        </w:rPr>
        <w:t>四</w:t>
      </w:r>
      <w:r>
        <w:rPr>
          <w:rFonts w:hint="eastAsia" w:ascii="楷体" w:hAnsi="楷体" w:eastAsia="楷体" w:cs="楷体"/>
          <w:b/>
          <w:sz w:val="32"/>
          <w:szCs w:val="32"/>
          <w:lang w:eastAsia="zh-CN"/>
        </w:rPr>
        <w:t>）专业技术工作经历</w:t>
      </w:r>
      <w:r>
        <w:rPr>
          <w:rFonts w:hint="eastAsia" w:ascii="楷体" w:hAnsi="楷体" w:eastAsia="楷体" w:cs="楷体"/>
          <w:b/>
          <w:sz w:val="32"/>
          <w:szCs w:val="32"/>
          <w:lang w:val="en-US" w:eastAsia="zh-CN"/>
        </w:rPr>
        <w:t>要求</w:t>
      </w:r>
    </w:p>
    <w:p w14:paraId="33E24999">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shd w:val="clear" w:color="auto" w:fill="FFFFFF"/>
          <w:lang w:eastAsia="zh-CN"/>
        </w:rPr>
      </w:pPr>
      <w:r>
        <w:rPr>
          <w:rFonts w:hint="eastAsia" w:ascii="仿宋" w:hAnsi="仿宋" w:eastAsia="仿宋" w:cs="仿宋"/>
          <w:sz w:val="32"/>
          <w:szCs w:val="32"/>
          <w:shd w:val="clear" w:color="auto" w:fill="FFFFFF"/>
          <w:lang w:eastAsia="zh-CN"/>
        </w:rPr>
        <w:t>专业技术工作经历是指取得职称资格（或者符合规定的聘任条件）后的聘任时间，按实计算。</w:t>
      </w:r>
    </w:p>
    <w:p w14:paraId="3EB66A93">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shd w:val="clear" w:color="auto" w:fill="FFFFFF"/>
          <w:lang w:val="en-US" w:eastAsia="zh-CN"/>
        </w:rPr>
        <w:t>1、</w:t>
      </w:r>
      <w:r>
        <w:rPr>
          <w:rFonts w:hint="eastAsia" w:ascii="仿宋" w:hAnsi="仿宋" w:eastAsia="仿宋" w:cs="仿宋"/>
          <w:sz w:val="32"/>
          <w:szCs w:val="32"/>
        </w:rPr>
        <w:t>对于先聘任助理工程师，后通过成人教育取得符合申报中级职称规定学历的工程技术人员申报工程师职称，其取得学历后的资历不少于一年。</w:t>
      </w:r>
    </w:p>
    <w:p w14:paraId="6994D6C7">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2</w:t>
      </w:r>
      <w:r>
        <w:rPr>
          <w:rFonts w:hint="eastAsia" w:ascii="仿宋" w:hAnsi="仿宋" w:eastAsia="仿宋" w:cs="仿宋"/>
          <w:sz w:val="32"/>
          <w:szCs w:val="32"/>
        </w:rPr>
        <w:t>、任职资历截至202</w:t>
      </w:r>
      <w:r>
        <w:rPr>
          <w:rFonts w:hint="eastAsia" w:ascii="仿宋" w:hAnsi="仿宋" w:eastAsia="仿宋" w:cs="仿宋"/>
          <w:sz w:val="32"/>
          <w:szCs w:val="32"/>
          <w:lang w:val="en-US" w:eastAsia="zh-CN"/>
        </w:rPr>
        <w:t>5</w:t>
      </w:r>
      <w:r>
        <w:rPr>
          <w:rFonts w:hint="eastAsia" w:ascii="仿宋" w:hAnsi="仿宋" w:eastAsia="仿宋" w:cs="仿宋"/>
          <w:sz w:val="32"/>
          <w:szCs w:val="32"/>
        </w:rPr>
        <w:t>年6月30日（自按规定担任助理工程师职务起算）。</w:t>
      </w:r>
    </w:p>
    <w:p w14:paraId="4F7493A6">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highlight w:val="none"/>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3</w:t>
      </w:r>
      <w:r>
        <w:rPr>
          <w:rFonts w:hint="eastAsia" w:ascii="仿宋" w:hAnsi="仿宋" w:eastAsia="仿宋" w:cs="仿宋"/>
          <w:sz w:val="32"/>
          <w:szCs w:val="32"/>
        </w:rPr>
        <w:t>、非就业状态、在行政管理或工勤等岗位工作的经历不能作为专业技术工作经历。在计算时，因专业技术岗位变动、待岗待聘、长病假、参加全日制教育等不在本专业技术岗位工作的时间</w:t>
      </w:r>
      <w:r>
        <w:rPr>
          <w:rFonts w:hint="eastAsia" w:ascii="仿宋" w:hAnsi="仿宋" w:eastAsia="仿宋" w:cs="仿宋"/>
          <w:sz w:val="32"/>
          <w:szCs w:val="32"/>
          <w:highlight w:val="none"/>
        </w:rPr>
        <w:t>（不含产假、在职脱产进修、科研人员离岗创业等）需相应扣除。</w:t>
      </w:r>
    </w:p>
    <w:p w14:paraId="200EC226">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楷体" w:hAnsi="楷体" w:eastAsia="楷体" w:cs="楷体"/>
          <w:b/>
          <w:sz w:val="32"/>
          <w:szCs w:val="32"/>
        </w:rPr>
      </w:pPr>
      <w:r>
        <w:rPr>
          <w:rFonts w:hint="eastAsia" w:ascii="楷体" w:hAnsi="楷体" w:eastAsia="楷体" w:cs="楷体"/>
          <w:b/>
          <w:sz w:val="32"/>
          <w:szCs w:val="32"/>
        </w:rPr>
        <w:t>　　（</w:t>
      </w:r>
      <w:r>
        <w:rPr>
          <w:rFonts w:hint="eastAsia" w:ascii="楷体" w:hAnsi="楷体" w:eastAsia="楷体" w:cs="楷体"/>
          <w:b/>
          <w:sz w:val="32"/>
          <w:szCs w:val="32"/>
          <w:lang w:val="en-US" w:eastAsia="zh-CN"/>
        </w:rPr>
        <w:t>五</w:t>
      </w:r>
      <w:r>
        <w:rPr>
          <w:rFonts w:hint="eastAsia" w:ascii="楷体" w:hAnsi="楷体" w:eastAsia="楷体" w:cs="楷体"/>
          <w:b/>
          <w:sz w:val="32"/>
          <w:szCs w:val="32"/>
        </w:rPr>
        <w:t>）论文论著/技术总结要求</w:t>
      </w:r>
    </w:p>
    <w:p w14:paraId="1FF80F91">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提交在助理工程师任职期间撰写的与本职工作密切相关、具有一定学术水平的工程技术专业论文，或技术</w:t>
      </w:r>
      <w:r>
        <w:rPr>
          <w:rFonts w:hint="eastAsia" w:ascii="仿宋" w:hAnsi="仿宋" w:eastAsia="仿宋" w:cs="仿宋"/>
          <w:sz w:val="32"/>
          <w:szCs w:val="32"/>
          <w:highlight w:val="none"/>
        </w:rPr>
        <w:t>总结</w:t>
      </w:r>
      <w:r>
        <w:rPr>
          <w:rFonts w:hint="eastAsia" w:ascii="仿宋" w:hAnsi="仿宋" w:eastAsia="仿宋" w:cs="仿宋"/>
          <w:strike w:val="0"/>
          <w:dstrike w:val="0"/>
          <w:sz w:val="32"/>
          <w:szCs w:val="32"/>
          <w:highlight w:val="none"/>
        </w:rPr>
        <w:t>，</w:t>
      </w:r>
      <w:r>
        <w:rPr>
          <w:rFonts w:hint="eastAsia" w:ascii="仿宋" w:hAnsi="仿宋" w:eastAsia="仿宋" w:cs="仿宋"/>
          <w:strike w:val="0"/>
          <w:dstrike w:val="0"/>
          <w:sz w:val="32"/>
          <w:szCs w:val="32"/>
          <w:highlight w:val="none"/>
          <w:lang w:val="en-US" w:eastAsia="zh-CN"/>
        </w:rPr>
        <w:t>具体要求如下</w:t>
      </w:r>
      <w:r>
        <w:rPr>
          <w:rFonts w:hint="eastAsia" w:ascii="仿宋" w:hAnsi="仿宋" w:eastAsia="仿宋" w:cs="仿宋"/>
          <w:sz w:val="32"/>
          <w:szCs w:val="32"/>
          <w:highlight w:val="none"/>
        </w:rPr>
        <w:t>：</w:t>
      </w:r>
    </w:p>
    <w:p w14:paraId="5E41EE70">
      <w:pPr>
        <w:pStyle w:val="6"/>
        <w:keepNext w:val="0"/>
        <w:keepLines w:val="0"/>
        <w:pageBreakBefore w:val="0"/>
        <w:widowControl w:val="0"/>
        <w:shd w:val="clear" w:color="auto" w:fill="FFFFFF"/>
        <w:kinsoku/>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1、独立撰写专业论文一篇及以上，字数不少于2000字，并确定一篇为主送论文。同时，提交论文应注意以下要求：</w:t>
      </w:r>
    </w:p>
    <w:p w14:paraId="44FDE6AE">
      <w:pPr>
        <w:pStyle w:val="6"/>
        <w:keepNext w:val="0"/>
        <w:keepLines w:val="0"/>
        <w:pageBreakBefore w:val="0"/>
        <w:widowControl w:val="0"/>
        <w:shd w:val="clear" w:color="auto" w:fill="FFFFFF"/>
        <w:kinsoku/>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（1）若报送以外文发表的论文，需同时提供中文译稿，且审核时以中文内容为准；</w:t>
      </w:r>
    </w:p>
    <w:p w14:paraId="5C2A1510">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（2）若提交公开发表的论文，申报人员应在材料申报截止日前提供正式出版刊物。论文录用证明、报刊及电子论文等不作为申报依据。</w:t>
      </w:r>
    </w:p>
    <w:p w14:paraId="43AC470F">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2、结合本人主持或为主参与的科研项目、生产项目或工程项目的技术工作，独立撰写技术工作总结一篇及以上，字数不少于2000字。同时，提交技术工作总结应注意以下要求：</w:t>
      </w:r>
    </w:p>
    <w:p w14:paraId="671899D2">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（1）技术工作总结应阐明项目水平，并写明本人在项目中所承担的岗位职责、专业技术能力、创造性的作用贡献以及解决的技术难点与难题；</w:t>
      </w:r>
    </w:p>
    <w:p w14:paraId="610C9604">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（2）技术工作总结须由单位审核并出具申报人独立撰写的证明，为确保申报人参与项目的真实性，须同时提供申报人主持或为主参与的项目立项、结项、验收、鉴定等相关材料。</w:t>
      </w:r>
    </w:p>
    <w:p w14:paraId="0CBCA43E">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3、学历学位</w:t>
      </w:r>
      <w:r>
        <w:rPr>
          <w:rFonts w:hint="eastAsia" w:ascii="仿宋" w:hAnsi="仿宋" w:eastAsia="仿宋" w:cs="仿宋"/>
          <w:sz w:val="32"/>
          <w:szCs w:val="32"/>
          <w:lang w:val="en-US" w:eastAsia="zh-CN"/>
        </w:rPr>
        <w:t>等毕业</w:t>
      </w:r>
      <w:r>
        <w:rPr>
          <w:rFonts w:hint="eastAsia" w:ascii="仿宋" w:hAnsi="仿宋" w:eastAsia="仿宋" w:cs="仿宋"/>
          <w:sz w:val="32"/>
          <w:szCs w:val="32"/>
        </w:rPr>
        <w:t>论文、项目（工程）设计说明书、产品说明书，可行性研究、立项申请、结题报告、项目技术报告、测试报告，产品标准，专利申请报告等均不得作为职称评审送审文章报送。</w:t>
      </w:r>
    </w:p>
    <w:p w14:paraId="1DB31AE9">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rPr>
      </w:pPr>
      <w:r>
        <w:rPr>
          <w:rFonts w:hint="eastAsia" w:ascii="仿宋" w:hAnsi="仿宋" w:eastAsia="仿宋" w:cs="仿宋"/>
          <w:sz w:val="32"/>
          <w:szCs w:val="32"/>
        </w:rPr>
        <w:t>4、发表文章的刊物应在国家新闻出版署备案可查ISSN号或CN号，并能通过“万方数据资源系统”、“清华同方中国知网”、“重庆维普中文科技期刊数据库”等主流数据库进行论文信息的检索。</w:t>
      </w:r>
    </w:p>
    <w:p w14:paraId="1FE99990">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rPr>
      </w:pPr>
      <w:r>
        <w:rPr>
          <w:rFonts w:hint="eastAsia" w:ascii="仿宋" w:hAnsi="仿宋" w:eastAsia="仿宋" w:cs="仿宋"/>
          <w:sz w:val="32"/>
          <w:szCs w:val="32"/>
        </w:rPr>
        <w:t>5、评委会将对申报人所提交的文章进行重合度检测，经查实存在学术造假行为的，实行“一票否决”。</w:t>
      </w:r>
    </w:p>
    <w:p w14:paraId="627F0472">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楷体" w:hAnsi="楷体" w:eastAsia="楷体" w:cs="楷体"/>
          <w:b/>
          <w:sz w:val="32"/>
          <w:szCs w:val="32"/>
        </w:rPr>
      </w:pPr>
      <w:r>
        <w:rPr>
          <w:rFonts w:hint="eastAsia" w:ascii="楷体" w:hAnsi="楷体" w:eastAsia="楷体" w:cs="楷体"/>
          <w:b/>
          <w:sz w:val="32"/>
          <w:szCs w:val="32"/>
        </w:rPr>
        <w:t xml:space="preserve">    （</w:t>
      </w:r>
      <w:r>
        <w:rPr>
          <w:rFonts w:hint="eastAsia" w:ascii="楷体" w:hAnsi="楷体" w:eastAsia="楷体" w:cs="楷体"/>
          <w:b/>
          <w:sz w:val="32"/>
          <w:szCs w:val="32"/>
          <w:lang w:val="en-US" w:eastAsia="zh-CN"/>
        </w:rPr>
        <w:t>六</w:t>
      </w:r>
      <w:r>
        <w:rPr>
          <w:rFonts w:hint="eastAsia" w:ascii="楷体" w:hAnsi="楷体" w:eastAsia="楷体" w:cs="楷体"/>
          <w:b/>
          <w:sz w:val="32"/>
          <w:szCs w:val="32"/>
        </w:rPr>
        <w:t>）继续教育要求</w:t>
      </w:r>
    </w:p>
    <w:p w14:paraId="53603D4C">
      <w:pPr>
        <w:pStyle w:val="6"/>
        <w:keepNext w:val="0"/>
        <w:keepLines w:val="0"/>
        <w:pageBreakBefore w:val="0"/>
        <w:widowControl w:val="0"/>
        <w:shd w:val="clear" w:color="auto" w:fill="FFFFFF"/>
        <w:kinsoku/>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b/>
          <w:sz w:val="32"/>
          <w:szCs w:val="32"/>
        </w:rPr>
        <w:t xml:space="preserve">    </w:t>
      </w:r>
      <w:r>
        <w:rPr>
          <w:rFonts w:hint="eastAsia" w:ascii="仿宋" w:hAnsi="仿宋" w:eastAsia="仿宋" w:cs="仿宋"/>
          <w:sz w:val="32"/>
          <w:szCs w:val="32"/>
        </w:rPr>
        <w:t>根据《专业技术人员继续教育规定》（人社部令第25号）、《上海市人力资源和社会保障局关于进一步完善本市专业技术人员继续教育公需科目培训工作的通知》（沪人社专〔2024〕221号）文件要求，对申报今年本评委会的申报人提出继续教育要求如下：</w:t>
      </w:r>
    </w:p>
    <w:p w14:paraId="57F94984">
      <w:pPr>
        <w:pStyle w:val="6"/>
        <w:keepNext w:val="0"/>
        <w:keepLines w:val="0"/>
        <w:pageBreakBefore w:val="0"/>
        <w:widowControl w:val="0"/>
        <w:shd w:val="clear" w:color="auto" w:fill="FFFFFF"/>
        <w:kinsoku w:val="0"/>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highlight w:val="none"/>
        </w:rPr>
      </w:pPr>
      <w:r>
        <w:rPr>
          <w:rFonts w:hint="eastAsia" w:ascii="仿宋" w:hAnsi="仿宋" w:eastAsia="仿宋" w:cs="仿宋"/>
          <w:sz w:val="32"/>
          <w:szCs w:val="32"/>
        </w:rPr>
        <w:t xml:space="preserve">    1、公需科目。</w:t>
      </w:r>
      <w:r>
        <w:rPr>
          <w:rFonts w:hint="eastAsia" w:ascii="仿宋" w:hAnsi="仿宋" w:eastAsia="仿宋" w:cs="仿宋"/>
          <w:sz w:val="32"/>
          <w:szCs w:val="32"/>
          <w:highlight w:val="none"/>
        </w:rPr>
        <w:t>五年内累计完成90学时，各公需科目课程安排和报名事宜，请登录“上海市专业技术人员继续教育公共服务平台”（https://www.rsj.sh.gov.cn/jxjy/#/index）查询《关于开展2025年上海市专业技术人员继续教育公需科目培训实施计划的通知》。近五年在“上海市专业技术人员继续教育网”（https://www.sacee.org.cn）所学学时可以合并计算。</w:t>
      </w:r>
    </w:p>
    <w:p w14:paraId="284D56FC">
      <w:pPr>
        <w:pStyle w:val="6"/>
        <w:keepNext w:val="0"/>
        <w:keepLines w:val="0"/>
        <w:pageBreakBefore w:val="0"/>
        <w:widowControl w:val="0"/>
        <w:shd w:val="clear" w:color="auto" w:fill="FFFFFF"/>
        <w:kinsoku w:val="0"/>
        <w:wordWrap w:val="0"/>
        <w:overflowPunct/>
        <w:topLinePunct/>
        <w:autoSpaceDE/>
        <w:autoSpaceDN/>
        <w:bidi w:val="0"/>
        <w:adjustRightInd/>
        <w:snapToGrid/>
        <w:spacing w:before="0" w:beforeAutospacing="0" w:after="0" w:afterAutospacing="0" w:line="560" w:lineRule="exact"/>
        <w:ind w:firstLine="640" w:firstLineChars="200"/>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2、专业科目。需累计完成不少于7</w:t>
      </w:r>
      <w:r>
        <w:rPr>
          <w:rFonts w:hint="eastAsia" w:ascii="仿宋" w:hAnsi="仿宋" w:eastAsia="仿宋" w:cs="仿宋"/>
          <w:b w:val="0"/>
          <w:bCs w:val="0"/>
          <w:sz w:val="32"/>
          <w:szCs w:val="32"/>
          <w:highlight w:val="none"/>
          <w:lang w:val="en-US" w:eastAsia="zh-CN"/>
        </w:rPr>
        <w:t>8</w:t>
      </w:r>
      <w:r>
        <w:rPr>
          <w:rFonts w:hint="eastAsia" w:ascii="仿宋" w:hAnsi="仿宋" w:eastAsia="仿宋" w:cs="仿宋"/>
          <w:b w:val="0"/>
          <w:bCs w:val="0"/>
          <w:sz w:val="32"/>
          <w:szCs w:val="32"/>
          <w:highlight w:val="none"/>
        </w:rPr>
        <w:t>学时，其中</w:t>
      </w:r>
      <w:r>
        <w:rPr>
          <w:rFonts w:hint="eastAsia" w:ascii="仿宋" w:hAnsi="仿宋" w:eastAsia="仿宋" w:cs="仿宋"/>
          <w:b w:val="0"/>
          <w:bCs w:val="0"/>
          <w:sz w:val="32"/>
          <w:szCs w:val="32"/>
          <w:highlight w:val="none"/>
          <w:lang w:val="en-US" w:eastAsia="zh-CN"/>
        </w:rPr>
        <w:t>申报</w:t>
      </w:r>
      <w:r>
        <w:rPr>
          <w:rFonts w:hint="eastAsia" w:ascii="仿宋" w:hAnsi="仿宋" w:eastAsia="仿宋" w:cs="仿宋"/>
          <w:b w:val="0"/>
          <w:bCs w:val="0"/>
          <w:sz w:val="32"/>
          <w:szCs w:val="32"/>
          <w:highlight w:val="none"/>
        </w:rPr>
        <w:t>当年度</w:t>
      </w:r>
      <w:r>
        <w:rPr>
          <w:rFonts w:hint="eastAsia" w:ascii="仿宋" w:hAnsi="仿宋" w:eastAsia="仿宋" w:cs="仿宋"/>
          <w:b w:val="0"/>
          <w:bCs w:val="0"/>
          <w:sz w:val="32"/>
          <w:szCs w:val="32"/>
          <w:highlight w:val="none"/>
          <w:lang w:val="en-US" w:eastAsia="zh-CN"/>
        </w:rPr>
        <w:t>24学时</w:t>
      </w:r>
      <w:r>
        <w:rPr>
          <w:rFonts w:hint="eastAsia" w:ascii="仿宋" w:hAnsi="仿宋" w:eastAsia="仿宋" w:cs="仿宋"/>
          <w:b w:val="0"/>
          <w:bCs w:val="0"/>
          <w:sz w:val="32"/>
          <w:szCs w:val="32"/>
          <w:highlight w:val="none"/>
        </w:rPr>
        <w:t>课程</w:t>
      </w:r>
      <w:r>
        <w:rPr>
          <w:rFonts w:hint="eastAsia" w:ascii="仿宋" w:hAnsi="仿宋" w:eastAsia="仿宋" w:cs="仿宋"/>
          <w:b w:val="0"/>
          <w:bCs w:val="0"/>
          <w:sz w:val="32"/>
          <w:szCs w:val="32"/>
          <w:highlight w:val="none"/>
          <w:lang w:val="en-US" w:eastAsia="zh-CN"/>
        </w:rPr>
        <w:t>必修（包含12学时直播课程和12学时录播课程）</w:t>
      </w:r>
      <w:r>
        <w:rPr>
          <w:rFonts w:hint="eastAsia" w:ascii="仿宋" w:hAnsi="仿宋" w:eastAsia="仿宋" w:cs="仿宋"/>
          <w:b w:val="0"/>
          <w:bCs w:val="0"/>
          <w:sz w:val="32"/>
          <w:szCs w:val="32"/>
          <w:highlight w:val="none"/>
        </w:rPr>
        <w:t>。20</w:t>
      </w:r>
      <w:r>
        <w:rPr>
          <w:rFonts w:hint="eastAsia" w:ascii="仿宋" w:hAnsi="仿宋" w:eastAsia="仿宋" w:cs="仿宋"/>
          <w:b w:val="0"/>
          <w:bCs w:val="0"/>
          <w:sz w:val="32"/>
          <w:szCs w:val="32"/>
          <w:highlight w:val="none"/>
          <w:lang w:val="en-US" w:eastAsia="zh-CN"/>
        </w:rPr>
        <w:t>20</w:t>
      </w:r>
      <w:r>
        <w:rPr>
          <w:rFonts w:hint="eastAsia" w:ascii="仿宋" w:hAnsi="仿宋" w:eastAsia="仿宋" w:cs="仿宋"/>
          <w:b w:val="0"/>
          <w:bCs w:val="0"/>
          <w:sz w:val="32"/>
          <w:szCs w:val="32"/>
          <w:highlight w:val="none"/>
        </w:rPr>
        <w:t>年7月1日以后取得的专业科目学时均可计入。具体课程安排和报名事宜，请搜索并关注微信公众号“上海交通微培训”查询。</w:t>
      </w:r>
    </w:p>
    <w:p w14:paraId="6A0A4861">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楷体" w:hAnsi="楷体" w:eastAsia="楷体" w:cs="楷体"/>
          <w:b/>
          <w:sz w:val="32"/>
          <w:szCs w:val="32"/>
        </w:rPr>
      </w:pPr>
      <w:r>
        <w:rPr>
          <w:rFonts w:hint="eastAsia" w:ascii="楷体" w:hAnsi="楷体" w:eastAsia="楷体" w:cs="楷体"/>
          <w:b/>
          <w:sz w:val="32"/>
          <w:szCs w:val="32"/>
        </w:rPr>
        <w:t xml:space="preserve">    （</w:t>
      </w:r>
      <w:r>
        <w:rPr>
          <w:rFonts w:hint="eastAsia" w:ascii="楷体" w:hAnsi="楷体" w:eastAsia="楷体" w:cs="楷体"/>
          <w:b/>
          <w:sz w:val="32"/>
          <w:szCs w:val="32"/>
          <w:lang w:val="en-US" w:eastAsia="zh-CN"/>
        </w:rPr>
        <w:t>七</w:t>
      </w:r>
      <w:r>
        <w:rPr>
          <w:rFonts w:hint="eastAsia" w:ascii="楷体" w:hAnsi="楷体" w:eastAsia="楷体" w:cs="楷体"/>
          <w:b/>
          <w:sz w:val="32"/>
          <w:szCs w:val="32"/>
        </w:rPr>
        <w:t>）工作业绩要求</w:t>
      </w:r>
    </w:p>
    <w:p w14:paraId="2C593347">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trike w:val="0"/>
          <w:sz w:val="32"/>
          <w:szCs w:val="32"/>
          <w:highlight w:val="none"/>
          <w:lang w:eastAsia="zh-CN"/>
        </w:rPr>
      </w:pPr>
      <w:r>
        <w:rPr>
          <w:rFonts w:hint="eastAsia" w:ascii="仿宋" w:hAnsi="仿宋" w:eastAsia="仿宋" w:cs="仿宋"/>
          <w:sz w:val="32"/>
          <w:szCs w:val="32"/>
          <w:highlight w:val="none"/>
        </w:rPr>
        <w:t>聘任助理工程师职称后，在从事的工程专业领域中应参与完成交通工程项目的规划、勘察、设计、造价、监理、论证、评估、试验、检测、技术咨询、维修养护、工艺布局、技术改造、设备应用、生产调度、组织设计、应急预案等相关工作，达到标准要求且通过评审、验收，未发生安全生产责任事故，形成相关专业性或体系性文件。或</w:t>
      </w:r>
      <w:r>
        <w:rPr>
          <w:rFonts w:hint="eastAsia" w:ascii="仿宋" w:hAnsi="仿宋" w:eastAsia="仿宋" w:cs="仿宋"/>
          <w:sz w:val="32"/>
          <w:szCs w:val="32"/>
          <w:highlight w:val="none"/>
          <w:lang w:val="en-US" w:eastAsia="zh-CN"/>
        </w:rPr>
        <w:t>参与</w:t>
      </w:r>
      <w:r>
        <w:rPr>
          <w:rFonts w:hint="eastAsia" w:ascii="仿宋" w:hAnsi="仿宋" w:eastAsia="仿宋" w:cs="仿宋"/>
          <w:sz w:val="32"/>
          <w:szCs w:val="32"/>
          <w:highlight w:val="none"/>
        </w:rPr>
        <w:t>完成交通行业科技项目</w:t>
      </w:r>
      <w:r>
        <w:rPr>
          <w:rFonts w:hint="eastAsia" w:ascii="仿宋" w:hAnsi="仿宋" w:eastAsia="仿宋" w:cs="仿宋"/>
          <w:sz w:val="32"/>
          <w:szCs w:val="32"/>
          <w:highlight w:val="none"/>
          <w:lang w:eastAsia="zh-CN"/>
        </w:rPr>
        <w:t>、</w:t>
      </w:r>
      <w:r>
        <w:rPr>
          <w:rFonts w:hint="eastAsia" w:ascii="仿宋" w:hAnsi="仿宋" w:eastAsia="仿宋" w:cs="仿宋"/>
          <w:strike w:val="0"/>
          <w:dstrike w:val="0"/>
          <w:sz w:val="32"/>
          <w:szCs w:val="32"/>
          <w:highlight w:val="none"/>
        </w:rPr>
        <w:t>新技术、新材料、新工艺等的推广应用</w:t>
      </w:r>
      <w:r>
        <w:rPr>
          <w:rFonts w:hint="eastAsia" w:ascii="仿宋" w:hAnsi="仿宋" w:eastAsia="仿宋" w:cs="仿宋"/>
          <w:strike w:val="0"/>
          <w:sz w:val="32"/>
          <w:szCs w:val="32"/>
          <w:highlight w:val="none"/>
        </w:rPr>
        <w:t>研究，均已通过上级业务主管部门验收、评价，</w:t>
      </w:r>
      <w:r>
        <w:rPr>
          <w:rFonts w:hint="eastAsia" w:ascii="仿宋" w:hAnsi="仿宋" w:eastAsia="仿宋" w:cs="仿宋"/>
          <w:strike w:val="0"/>
          <w:sz w:val="32"/>
          <w:szCs w:val="32"/>
          <w:highlight w:val="none"/>
          <w:lang w:val="en-US" w:eastAsia="zh-CN"/>
        </w:rPr>
        <w:t>并取得一定</w:t>
      </w:r>
      <w:r>
        <w:rPr>
          <w:rFonts w:hint="eastAsia" w:ascii="仿宋" w:hAnsi="仿宋" w:eastAsia="仿宋" w:cs="仿宋"/>
          <w:strike w:val="0"/>
          <w:sz w:val="32"/>
          <w:szCs w:val="32"/>
          <w:highlight w:val="none"/>
        </w:rPr>
        <w:t>经济效益</w:t>
      </w:r>
      <w:r>
        <w:rPr>
          <w:rFonts w:hint="eastAsia" w:ascii="仿宋" w:hAnsi="仿宋" w:eastAsia="仿宋" w:cs="仿宋"/>
          <w:strike w:val="0"/>
          <w:sz w:val="32"/>
          <w:szCs w:val="32"/>
          <w:highlight w:val="none"/>
          <w:lang w:eastAsia="zh-CN"/>
        </w:rPr>
        <w:t>。</w:t>
      </w:r>
    </w:p>
    <w:p w14:paraId="39B8B85D">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trike w:val="0"/>
          <w:sz w:val="32"/>
          <w:szCs w:val="32"/>
          <w:highlight w:val="none"/>
          <w:lang w:val="en-US" w:eastAsia="zh-CN"/>
        </w:rPr>
      </w:pPr>
      <w:r>
        <w:rPr>
          <w:rFonts w:hint="eastAsia" w:ascii="仿宋" w:hAnsi="仿宋" w:eastAsia="仿宋" w:cs="仿宋"/>
          <w:strike w:val="0"/>
          <w:sz w:val="32"/>
          <w:szCs w:val="32"/>
          <w:highlight w:val="none"/>
          <w:lang w:val="en-US" w:eastAsia="zh-CN"/>
        </w:rPr>
        <w:t>如取得下列成果之一的，也可提交相关证明材料：</w:t>
      </w:r>
    </w:p>
    <w:p w14:paraId="5FA9E481">
      <w:pPr>
        <w:pStyle w:val="6"/>
        <w:keepNext w:val="0"/>
        <w:keepLines w:val="0"/>
        <w:pageBreakBefore w:val="0"/>
        <w:widowControl w:val="0"/>
        <w:numPr>
          <w:ilvl w:val="0"/>
          <w:numId w:val="2"/>
        </w:numPr>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参与完成编制（修订）</w:t>
      </w:r>
      <w:r>
        <w:rPr>
          <w:rFonts w:hint="eastAsia" w:ascii="仿宋" w:hAnsi="仿宋" w:eastAsia="仿宋" w:cs="仿宋"/>
          <w:strike w:val="0"/>
          <w:dstrike w:val="0"/>
          <w:sz w:val="32"/>
          <w:szCs w:val="32"/>
          <w:highlight w:val="none"/>
        </w:rPr>
        <w:t>国家级、省级、地方</w:t>
      </w:r>
      <w:r>
        <w:rPr>
          <w:rFonts w:hint="eastAsia" w:ascii="仿宋" w:hAnsi="仿宋" w:eastAsia="仿宋" w:cs="仿宋"/>
          <w:sz w:val="32"/>
          <w:szCs w:val="32"/>
          <w:highlight w:val="none"/>
        </w:rPr>
        <w:t>行业技术标准、技术规范、技术规程、技术细则、工法、定额、重要文件等</w:t>
      </w:r>
      <w:r>
        <w:rPr>
          <w:rFonts w:hint="eastAsia" w:ascii="仿宋" w:hAnsi="仿宋" w:eastAsia="仿宋" w:cs="仿宋"/>
          <w:sz w:val="32"/>
          <w:szCs w:val="32"/>
          <w:highlight w:val="none"/>
          <w:lang w:eastAsia="zh-CN"/>
        </w:rPr>
        <w:t>。</w:t>
      </w:r>
    </w:p>
    <w:p w14:paraId="24549771">
      <w:pPr>
        <w:pStyle w:val="6"/>
        <w:keepNext w:val="0"/>
        <w:keepLines w:val="0"/>
        <w:pageBreakBefore w:val="0"/>
        <w:widowControl w:val="0"/>
        <w:numPr>
          <w:ilvl w:val="0"/>
          <w:numId w:val="2"/>
        </w:numPr>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参与完成获得科技成果奖及相当奖励的项目</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或获</w:t>
      </w:r>
      <w:r>
        <w:rPr>
          <w:rFonts w:hint="eastAsia" w:ascii="仿宋" w:hAnsi="仿宋" w:eastAsia="仿宋" w:cs="仿宋"/>
          <w:strike w:val="0"/>
          <w:dstrike w:val="0"/>
          <w:sz w:val="32"/>
          <w:szCs w:val="32"/>
          <w:highlight w:val="none"/>
        </w:rPr>
        <w:t>得社会成果类、优质工程类奖项；或获得</w:t>
      </w:r>
      <w:r>
        <w:rPr>
          <w:rFonts w:hint="eastAsia" w:ascii="仿宋" w:hAnsi="仿宋" w:eastAsia="仿宋" w:cs="仿宋"/>
          <w:strike w:val="0"/>
          <w:dstrike w:val="0"/>
          <w:sz w:val="32"/>
          <w:szCs w:val="32"/>
          <w:highlight w:val="none"/>
          <w:lang w:val="en-US" w:eastAsia="zh-CN"/>
        </w:rPr>
        <w:t>各级别</w:t>
      </w:r>
      <w:r>
        <w:rPr>
          <w:rFonts w:hint="eastAsia" w:ascii="仿宋" w:hAnsi="仿宋" w:eastAsia="仿宋" w:cs="仿宋"/>
          <w:strike w:val="0"/>
          <w:dstrike w:val="0"/>
          <w:sz w:val="32"/>
          <w:szCs w:val="32"/>
          <w:highlight w:val="none"/>
        </w:rPr>
        <w:t>表彰；或获得</w:t>
      </w:r>
      <w:r>
        <w:rPr>
          <w:rFonts w:hint="eastAsia" w:ascii="仿宋" w:hAnsi="仿宋" w:eastAsia="仿宋" w:cs="仿宋"/>
          <w:strike w:val="0"/>
          <w:dstrike w:val="0"/>
          <w:sz w:val="32"/>
          <w:szCs w:val="32"/>
          <w:highlight w:val="none"/>
          <w:lang w:val="en-US" w:eastAsia="zh-CN"/>
        </w:rPr>
        <w:t>各级别</w:t>
      </w:r>
      <w:r>
        <w:rPr>
          <w:rFonts w:hint="eastAsia" w:ascii="仿宋" w:hAnsi="仿宋" w:eastAsia="仿宋" w:cs="仿宋"/>
          <w:strike w:val="0"/>
          <w:dstrike w:val="0"/>
          <w:sz w:val="32"/>
          <w:szCs w:val="32"/>
          <w:highlight w:val="none"/>
        </w:rPr>
        <w:t>专业技</w:t>
      </w:r>
      <w:r>
        <w:rPr>
          <w:rFonts w:hint="eastAsia" w:ascii="仿宋" w:hAnsi="仿宋" w:eastAsia="仿宋" w:cs="仿宋"/>
          <w:sz w:val="32"/>
          <w:szCs w:val="32"/>
          <w:highlight w:val="none"/>
        </w:rPr>
        <w:t>术带头人、高层次人才称号。</w:t>
      </w:r>
    </w:p>
    <w:p w14:paraId="01DA0920">
      <w:pPr>
        <w:pStyle w:val="6"/>
        <w:keepNext w:val="0"/>
        <w:keepLines w:val="0"/>
        <w:pageBreakBefore w:val="0"/>
        <w:widowControl w:val="0"/>
        <w:numPr>
          <w:ilvl w:val="0"/>
          <w:numId w:val="2"/>
        </w:numPr>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作为发明者获得本专业国家专利或软件著作权1项</w:t>
      </w:r>
      <w:r>
        <w:rPr>
          <w:rFonts w:hint="eastAsia" w:ascii="仿宋" w:hAnsi="仿宋" w:eastAsia="仿宋" w:cs="仿宋"/>
          <w:sz w:val="32"/>
          <w:szCs w:val="32"/>
          <w:highlight w:val="none"/>
          <w:lang w:val="en-US" w:eastAsia="zh-CN"/>
        </w:rPr>
        <w:t>及</w:t>
      </w:r>
      <w:r>
        <w:rPr>
          <w:rFonts w:hint="eastAsia" w:ascii="仿宋" w:hAnsi="仿宋" w:eastAsia="仿宋" w:cs="仿宋"/>
          <w:sz w:val="32"/>
          <w:szCs w:val="32"/>
          <w:highlight w:val="none"/>
        </w:rPr>
        <w:t>以上</w:t>
      </w:r>
      <w:r>
        <w:rPr>
          <w:rFonts w:hint="eastAsia" w:ascii="仿宋" w:hAnsi="仿宋" w:eastAsia="仿宋" w:cs="仿宋"/>
          <w:sz w:val="32"/>
          <w:szCs w:val="32"/>
          <w:highlight w:val="none"/>
          <w:lang w:eastAsia="zh-CN"/>
        </w:rPr>
        <w:t>。</w:t>
      </w:r>
    </w:p>
    <w:p w14:paraId="49FE3D34">
      <w:pPr>
        <w:pStyle w:val="6"/>
        <w:keepNext w:val="0"/>
        <w:keepLines w:val="0"/>
        <w:pageBreakBefore w:val="0"/>
        <w:widowControl w:val="0"/>
        <w:numPr>
          <w:ilvl w:val="0"/>
          <w:numId w:val="2"/>
        </w:numPr>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获得本专业具有较高经济和社会效益的发明专利1项</w:t>
      </w:r>
      <w:r>
        <w:rPr>
          <w:rFonts w:hint="eastAsia" w:ascii="仿宋" w:hAnsi="仿宋" w:eastAsia="仿宋" w:cs="仿宋"/>
          <w:sz w:val="32"/>
          <w:szCs w:val="32"/>
          <w:highlight w:val="none"/>
          <w:lang w:val="en-US" w:eastAsia="zh-CN"/>
        </w:rPr>
        <w:t>及</w:t>
      </w:r>
      <w:r>
        <w:rPr>
          <w:rFonts w:hint="eastAsia" w:ascii="仿宋" w:hAnsi="仿宋" w:eastAsia="仿宋" w:cs="仿宋"/>
          <w:sz w:val="32"/>
          <w:szCs w:val="32"/>
          <w:highlight w:val="none"/>
        </w:rPr>
        <w:t>以上。</w:t>
      </w:r>
    </w:p>
    <w:p w14:paraId="0F3224DF">
      <w:pPr>
        <w:pStyle w:val="6"/>
        <w:keepNext w:val="0"/>
        <w:keepLines w:val="0"/>
        <w:pageBreakBefore w:val="0"/>
        <w:widowControl w:val="0"/>
        <w:numPr>
          <w:ilvl w:val="0"/>
          <w:numId w:val="2"/>
        </w:numPr>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b/>
          <w:sz w:val="32"/>
          <w:szCs w:val="32"/>
          <w:shd w:val="clear" w:color="auto" w:fill="FFFFFF"/>
        </w:rPr>
      </w:pPr>
      <w:r>
        <w:rPr>
          <w:rFonts w:hint="eastAsia" w:ascii="仿宋" w:hAnsi="仿宋" w:eastAsia="仿宋" w:cs="仿宋"/>
          <w:sz w:val="32"/>
          <w:szCs w:val="32"/>
          <w:highlight w:val="none"/>
        </w:rPr>
        <w:t>在行业内认可的专业刊物上独立或作为第一作者（合作撰写论文不得超过3人）撰写发表专业技术论文1篇及以上（有</w:t>
      </w:r>
      <w:r>
        <w:rPr>
          <w:rFonts w:hint="eastAsia" w:ascii="仿宋" w:hAnsi="仿宋" w:eastAsia="仿宋" w:cs="仿宋"/>
          <w:sz w:val="32"/>
          <w:szCs w:val="32"/>
          <w:highlight w:val="none"/>
          <w:lang w:val="en-US" w:eastAsia="zh-CN"/>
        </w:rPr>
        <w:t>ISSN或CN</w:t>
      </w:r>
      <w:r>
        <w:rPr>
          <w:rFonts w:hint="eastAsia" w:ascii="仿宋" w:hAnsi="仿宋" w:eastAsia="仿宋" w:cs="仿宋"/>
          <w:sz w:val="32"/>
          <w:szCs w:val="32"/>
          <w:highlight w:val="none"/>
        </w:rPr>
        <w:t>号）；或作为主要作者（前3名）撰写并正式出版学术论著（有ISBN号）。</w:t>
      </w:r>
    </w:p>
    <w:p w14:paraId="2A798668">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643" w:firstLineChars="200"/>
        <w:textAlignment w:val="auto"/>
        <w:rPr>
          <w:rFonts w:hint="eastAsia" w:ascii="楷体" w:hAnsi="楷体" w:eastAsia="楷体" w:cs="楷体"/>
          <w:b/>
          <w:sz w:val="32"/>
          <w:szCs w:val="32"/>
        </w:rPr>
      </w:pPr>
      <w:r>
        <w:rPr>
          <w:rFonts w:hint="eastAsia" w:ascii="楷体" w:hAnsi="楷体" w:eastAsia="楷体" w:cs="楷体"/>
          <w:b/>
          <w:sz w:val="32"/>
          <w:szCs w:val="32"/>
        </w:rPr>
        <w:t>（</w:t>
      </w:r>
      <w:r>
        <w:rPr>
          <w:rFonts w:hint="eastAsia" w:ascii="楷体" w:hAnsi="楷体" w:eastAsia="楷体" w:cs="楷体"/>
          <w:b/>
          <w:sz w:val="32"/>
          <w:szCs w:val="32"/>
          <w:lang w:val="en-US" w:eastAsia="zh-CN"/>
        </w:rPr>
        <w:t>八</w:t>
      </w:r>
      <w:r>
        <w:rPr>
          <w:rFonts w:hint="eastAsia" w:ascii="楷体" w:hAnsi="楷体" w:eastAsia="楷体" w:cs="楷体"/>
          <w:b/>
          <w:sz w:val="32"/>
          <w:szCs w:val="32"/>
        </w:rPr>
        <w:t>）专业能力要求</w:t>
      </w:r>
    </w:p>
    <w:p w14:paraId="550AB126">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要获得工程师职称，应具备下列部门之一的条件：</w:t>
      </w:r>
    </w:p>
    <w:p w14:paraId="258BAB18">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1、生产、技术部门：</w:t>
      </w:r>
    </w:p>
    <w:p w14:paraId="1094F75A">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640" w:firstLineChars="20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（1）基本掌握现代生产管理和技术管理的方法，有独立解决比较复杂的技术问题的能力；</w:t>
      </w:r>
    </w:p>
    <w:p w14:paraId="0185033B">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640" w:firstLineChars="20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（2）能够灵活运用本专业的基础理论知识和专业技术知识，熟悉本专业国内外现状和发展趋势；</w:t>
      </w:r>
    </w:p>
    <w:p w14:paraId="42B317E9">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640" w:firstLineChars="20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（3）有一定从事生产、技术管理工作的实践经验，取得有实用价值的技术成果和技术经济效益；</w:t>
      </w:r>
    </w:p>
    <w:p w14:paraId="2927DF43">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640" w:firstLineChars="20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（4）能够指导助理工程师的工作和学习。</w:t>
      </w:r>
    </w:p>
    <w:p w14:paraId="69440A5F">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2、研究、设计部门：</w:t>
      </w:r>
    </w:p>
    <w:p w14:paraId="5BAD5852">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（1）有独立承担较复杂项目的研究、设计工作能力，能解决本专业范围内比较复杂的技术问题；</w:t>
      </w:r>
    </w:p>
    <w:p w14:paraId="13FF288D">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（2）较系统地掌握本专业的基础理论知识和专业技术知识，熟悉本专业国内外现状和发展趋势；</w:t>
      </w:r>
    </w:p>
    <w:p w14:paraId="3579D079">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（3）有一定从事工程技术研究、设计工作的实践经验，能吸收、采用国内外先进技术，在提高研究、设计水平和经济效益方面取得一定成绩；</w:t>
      </w:r>
    </w:p>
    <w:p w14:paraId="0A0A89CB">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（4）能够指导助理工程师的工作和学习。</w:t>
      </w:r>
    </w:p>
    <w:p w14:paraId="7996611F">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楷体" w:hAnsi="楷体" w:eastAsia="楷体" w:cs="楷体"/>
          <w:b/>
          <w:sz w:val="32"/>
          <w:szCs w:val="32"/>
        </w:rPr>
      </w:pPr>
      <w:r>
        <w:rPr>
          <w:rFonts w:hint="eastAsia" w:ascii="楷体" w:hAnsi="楷体" w:eastAsia="楷体" w:cs="楷体"/>
          <w:b/>
          <w:sz w:val="32"/>
          <w:szCs w:val="32"/>
        </w:rPr>
        <w:t xml:space="preserve">    （</w:t>
      </w:r>
      <w:r>
        <w:rPr>
          <w:rFonts w:hint="eastAsia" w:ascii="楷体" w:hAnsi="楷体" w:eastAsia="楷体" w:cs="楷体"/>
          <w:b/>
          <w:sz w:val="32"/>
          <w:szCs w:val="32"/>
          <w:lang w:val="en-US" w:eastAsia="zh-CN"/>
        </w:rPr>
        <w:t>九</w:t>
      </w:r>
      <w:r>
        <w:rPr>
          <w:rFonts w:hint="eastAsia" w:ascii="楷体" w:hAnsi="楷体" w:eastAsia="楷体" w:cs="楷体"/>
          <w:b/>
          <w:sz w:val="32"/>
          <w:szCs w:val="32"/>
        </w:rPr>
        <w:t>）其他事项</w:t>
      </w:r>
    </w:p>
    <w:p w14:paraId="6DC172C8">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rPr>
      </w:pPr>
      <w:r>
        <w:rPr>
          <w:rFonts w:hint="eastAsia" w:ascii="仿宋" w:hAnsi="仿宋" w:eastAsia="仿宋" w:cs="仿宋"/>
          <w:sz w:val="32"/>
          <w:szCs w:val="32"/>
        </w:rPr>
        <w:t>1、为促进职称与专业技术类职业资格衔接，对符合沪人社专[2020]459号文件规定的，可申报工程师职称。</w:t>
      </w:r>
    </w:p>
    <w:p w14:paraId="37DA3565">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highlight w:val="none"/>
          <w:shd w:val="clear" w:color="auto" w:fill="FFFFFF"/>
          <w:lang w:val="en-US" w:eastAsia="zh-CN"/>
        </w:rPr>
      </w:pPr>
      <w:r>
        <w:rPr>
          <w:rFonts w:hint="eastAsia" w:ascii="仿宋" w:hAnsi="仿宋" w:eastAsia="仿宋" w:cs="仿宋"/>
          <w:sz w:val="32"/>
          <w:szCs w:val="32"/>
          <w:highlight w:val="none"/>
          <w:shd w:val="clear" w:color="auto" w:fill="FFFFFF"/>
          <w:lang w:val="en-US" w:eastAsia="zh-CN"/>
        </w:rPr>
        <w:t>2、从高技能岗位转到专业技术岗位人员，按沪人社专〔2021〕312号文件规定执行。</w:t>
      </w:r>
    </w:p>
    <w:p w14:paraId="77216536">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、毕业后在非公经济单位工作，该单位至今尚未开展过有关职称评审工作的专业技术人员，所需学历和资历条件达到评审要求，可直接申报。</w:t>
      </w:r>
    </w:p>
    <w:p w14:paraId="4EE64473">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4</w:t>
      </w:r>
      <w:r>
        <w:rPr>
          <w:rFonts w:hint="eastAsia" w:ascii="仿宋" w:hAnsi="仿宋" w:eastAsia="仿宋" w:cs="仿宋"/>
          <w:sz w:val="32"/>
          <w:szCs w:val="32"/>
        </w:rPr>
        <w:t>、已评聘其它相关系列中级职称，因工作需要转到交通工程专业工程技术岗位工作满1年以上，并经考核能履行现岗位职责的，可转评交通工程专业工程师职称。</w:t>
      </w:r>
    </w:p>
    <w:p w14:paraId="41014AF2">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事业单位申报人应根据本单位专业技术岗位设置情况实行缺额推荐申报，在专业技术职务申报表的“所在单位核实意见”栏中填写具体缺额情况，并由主管部门盖章（区属事业单位岗位缺额情况由区人社部门盖章）。</w:t>
      </w:r>
    </w:p>
    <w:p w14:paraId="575D4062">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6、中央在沪单位中相关主体系列（专业）专业技术人员不在本评委会受理范围内，请到单位所属系统评委会参加评审。中央在沪单位中非主体系列（专业）专业技术人才需委托本市评审的，由具有相应职称评审权限的主管单位人事部门出具委托评审函，并经市人力资源社会保障行政部门同意后推荐报送。</w:t>
      </w:r>
    </w:p>
    <w:p w14:paraId="6C90607B">
      <w:pPr>
        <w:pStyle w:val="6"/>
        <w:keepNext w:val="0"/>
        <w:keepLines w:val="0"/>
        <w:pageBreakBefore w:val="0"/>
        <w:widowControl w:val="0"/>
        <w:shd w:val="clear" w:color="auto" w:fill="FFFFFF"/>
        <w:kinsoku/>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rPr>
      </w:pPr>
      <w:r>
        <w:rPr>
          <w:rFonts w:hint="eastAsia" w:ascii="仿宋" w:hAnsi="仿宋" w:eastAsia="仿宋" w:cs="仿宋"/>
          <w:sz w:val="32"/>
          <w:szCs w:val="32"/>
          <w:highlight w:val="none"/>
          <w:lang w:val="en-US" w:eastAsia="zh-CN"/>
        </w:rPr>
        <w:t>7</w:t>
      </w:r>
      <w:r>
        <w:rPr>
          <w:rFonts w:hint="eastAsia" w:ascii="仿宋" w:hAnsi="仿宋" w:eastAsia="仿宋" w:cs="仿宋"/>
          <w:sz w:val="32"/>
          <w:szCs w:val="32"/>
          <w:highlight w:val="none"/>
        </w:rPr>
        <w:t>、</w:t>
      </w:r>
      <w:r>
        <w:rPr>
          <w:rFonts w:hint="eastAsia" w:ascii="仿宋" w:hAnsi="仿宋" w:eastAsia="仿宋" w:cs="仿宋"/>
          <w:sz w:val="32"/>
          <w:szCs w:val="32"/>
        </w:rPr>
        <w:t>对于上一年度评审未通过者，第二年继续要求申报的人员，必须在申报当年工作业绩突出、取得重大贡献或论文在省市级及以上专业学术期刊上独立公开发表，且不得使用上年度职称申报论文作为主送论文。</w:t>
      </w:r>
    </w:p>
    <w:p w14:paraId="4228EEB8">
      <w:pPr>
        <w:pStyle w:val="6"/>
        <w:keepNext w:val="0"/>
        <w:keepLines w:val="0"/>
        <w:pageBreakBefore w:val="0"/>
        <w:widowControl w:val="0"/>
        <w:shd w:val="clear" w:color="auto" w:fill="FFFFFF"/>
        <w:kinsoku/>
        <w:wordWrap w:val="0"/>
        <w:overflowPunct/>
        <w:topLinePunct/>
        <w:autoSpaceDE/>
        <w:autoSpaceDN/>
        <w:bidi w:val="0"/>
        <w:adjustRightInd/>
        <w:snapToGrid/>
        <w:spacing w:before="0" w:beforeAutospacing="0" w:after="0" w:afterAutospacing="0" w:line="560" w:lineRule="exact"/>
        <w:ind w:firstLine="480"/>
        <w:textAlignment w:val="auto"/>
        <w:rPr>
          <w:rFonts w:hint="eastAsia" w:ascii="黑体" w:hAnsi="黑体" w:eastAsia="黑体" w:cs="黑体"/>
          <w:b/>
          <w:sz w:val="32"/>
          <w:szCs w:val="32"/>
          <w:highlight w:val="none"/>
        </w:rPr>
      </w:pPr>
    </w:p>
    <w:p w14:paraId="247A320C">
      <w:pPr>
        <w:pStyle w:val="6"/>
        <w:keepNext w:val="0"/>
        <w:keepLines w:val="0"/>
        <w:pageBreakBefore w:val="0"/>
        <w:widowControl w:val="0"/>
        <w:shd w:val="clear" w:color="auto" w:fill="FFFFFF"/>
        <w:kinsoku/>
        <w:wordWrap w:val="0"/>
        <w:overflowPunct/>
        <w:topLinePunct/>
        <w:autoSpaceDE/>
        <w:autoSpaceDN/>
        <w:bidi w:val="0"/>
        <w:adjustRightInd/>
        <w:snapToGrid/>
        <w:spacing w:before="0" w:beforeAutospacing="0" w:after="0" w:afterAutospacing="0" w:line="560" w:lineRule="exact"/>
        <w:ind w:firstLine="480"/>
        <w:textAlignment w:val="auto"/>
        <w:rPr>
          <w:rFonts w:hint="eastAsia" w:ascii="黑体" w:hAnsi="黑体" w:eastAsia="黑体" w:cs="黑体"/>
          <w:b/>
          <w:sz w:val="32"/>
          <w:szCs w:val="32"/>
          <w:highlight w:val="none"/>
        </w:rPr>
      </w:pPr>
    </w:p>
    <w:p w14:paraId="751414B6">
      <w:pPr>
        <w:pStyle w:val="6"/>
        <w:keepNext w:val="0"/>
        <w:keepLines w:val="0"/>
        <w:pageBreakBefore w:val="0"/>
        <w:widowControl w:val="0"/>
        <w:shd w:val="clear" w:color="auto" w:fill="FFFFFF"/>
        <w:kinsoku/>
        <w:wordWrap w:val="0"/>
        <w:overflowPunct/>
        <w:topLinePunct/>
        <w:autoSpaceDE/>
        <w:autoSpaceDN/>
        <w:bidi w:val="0"/>
        <w:adjustRightInd/>
        <w:snapToGrid/>
        <w:spacing w:before="0" w:beforeAutospacing="0" w:after="0" w:afterAutospacing="0" w:line="560" w:lineRule="exact"/>
        <w:ind w:firstLine="480"/>
        <w:textAlignment w:val="auto"/>
        <w:rPr>
          <w:rFonts w:hint="eastAsia" w:ascii="黑体" w:hAnsi="黑体" w:eastAsia="黑体" w:cs="黑体"/>
          <w:b/>
          <w:sz w:val="32"/>
          <w:szCs w:val="32"/>
          <w:highlight w:val="none"/>
        </w:rPr>
      </w:pPr>
      <w:r>
        <w:rPr>
          <w:rFonts w:hint="eastAsia" w:ascii="黑体" w:hAnsi="黑体" w:eastAsia="黑体" w:cs="黑体"/>
          <w:b/>
          <w:sz w:val="32"/>
          <w:szCs w:val="32"/>
          <w:highlight w:val="none"/>
        </w:rPr>
        <w:t>四、申报评审程序</w:t>
      </w:r>
    </w:p>
    <w:p w14:paraId="259FCEDC">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楷体" w:hAnsi="楷体" w:eastAsia="楷体" w:cs="楷体"/>
          <w:b/>
          <w:sz w:val="32"/>
          <w:szCs w:val="32"/>
        </w:rPr>
      </w:pPr>
      <w:r>
        <w:rPr>
          <w:rFonts w:hint="eastAsia" w:ascii="楷体" w:hAnsi="楷体" w:eastAsia="楷体" w:cs="楷体"/>
          <w:b/>
          <w:sz w:val="32"/>
          <w:szCs w:val="32"/>
        </w:rPr>
        <w:t xml:space="preserve">    （一）申报评审流程</w:t>
      </w:r>
    </w:p>
    <w:p w14:paraId="63739B6C">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工程系列交通工程专业中级职称评审实行网上申报。</w:t>
      </w:r>
    </w:p>
    <w:p w14:paraId="2A607764">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1、用手机“随申办市民云”APP进行注册用户信息。</w:t>
      </w:r>
    </w:p>
    <w:p w14:paraId="3E9F8BBC">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2、登录上海市职称服务系统（上海市人力资源和社会保障局公共服务平台（http://ggfw.rsj.sh.gov.cn）—网上办事—职称申报），点击“关于开展2025年度上海市工程系列交通工程专业中级职称评审工作通知”，选择专业学科组进行网上申报。</w:t>
      </w:r>
    </w:p>
    <w:p w14:paraId="756084ED">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highlight w:val="none"/>
        </w:rPr>
      </w:pPr>
      <w:r>
        <w:rPr>
          <w:rFonts w:hint="eastAsia" w:ascii="仿宋" w:hAnsi="仿宋" w:eastAsia="仿宋" w:cs="仿宋"/>
          <w:sz w:val="32"/>
          <w:szCs w:val="32"/>
        </w:rPr>
        <w:t>3、</w:t>
      </w:r>
      <w:r>
        <w:rPr>
          <w:rFonts w:hint="eastAsia" w:ascii="仿宋" w:hAnsi="仿宋" w:eastAsia="仿宋" w:cs="仿宋"/>
          <w:sz w:val="32"/>
          <w:szCs w:val="32"/>
          <w:lang w:val="en-US" w:eastAsia="zh-CN"/>
        </w:rPr>
        <w:t>结合《评审通知》和《填报指南》（附件1）</w:t>
      </w:r>
      <w:r>
        <w:rPr>
          <w:rFonts w:hint="eastAsia" w:ascii="仿宋" w:hAnsi="仿宋" w:eastAsia="仿宋" w:cs="仿宋"/>
          <w:sz w:val="32"/>
          <w:szCs w:val="32"/>
        </w:rPr>
        <w:t>要求填写信息并上传材料附件。凡要求提供的附件材料均应上传至系统。经自查材料上传无误，点击提交，同时打印申报表（请确认上传附件不携带病毒，否则可能导致材料上传不完整而</w:t>
      </w:r>
      <w:r>
        <w:rPr>
          <w:rFonts w:hint="eastAsia" w:ascii="仿宋" w:hAnsi="仿宋" w:eastAsia="仿宋" w:cs="仿宋"/>
          <w:sz w:val="32"/>
          <w:szCs w:val="32"/>
          <w:highlight w:val="none"/>
        </w:rPr>
        <w:t>影响评审）。</w:t>
      </w:r>
    </w:p>
    <w:p w14:paraId="47F51C3F">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用人单位应当对申报人的《中级职称评审申报表》所填写内容、各类证书、证明材料和履职情况进行严格审核，并将申报材料在本单位内部进行公示，公示期不少于5个工作日。经公示无异议的，由单位在申报表“所在单位核实意见”栏内对申报人作为评审的工作经历、业绩、论文、科研项目、年度考核、岗位空缺等情况写上明确核实意见，由单位负责人签字并加盖单位公章。凡未写入核实的其他内容在评审时不能作为主要业绩对待。</w:t>
      </w:r>
    </w:p>
    <w:p w14:paraId="7B4E6157">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5</w:t>
      </w:r>
      <w:r>
        <w:rPr>
          <w:rFonts w:hint="eastAsia" w:ascii="仿宋" w:hAnsi="仿宋" w:eastAsia="仿宋" w:cs="仿宋"/>
          <w:sz w:val="32"/>
          <w:szCs w:val="32"/>
        </w:rPr>
        <w:t>、评委会对申报材料进行初审，对有异议的材料退回修改，请申报人密切关注系统信息。</w:t>
      </w:r>
    </w:p>
    <w:p w14:paraId="1F112DDB">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6</w:t>
      </w:r>
      <w:r>
        <w:rPr>
          <w:rFonts w:hint="eastAsia" w:ascii="仿宋" w:hAnsi="仿宋" w:eastAsia="仿宋" w:cs="仿宋"/>
          <w:sz w:val="32"/>
          <w:szCs w:val="32"/>
        </w:rPr>
        <w:t>、在网上申报材料修改截止日前，申报人须提供完备的申报材料，对于截止日后发表的论文、取得的其他材料，不得作为今年申报的依据。申报表所在单位核实意见不填或不加盖公章、负责人签章的，评委会将不予以受理。</w:t>
      </w:r>
    </w:p>
    <w:p w14:paraId="781FB503">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7</w:t>
      </w:r>
      <w:r>
        <w:rPr>
          <w:rFonts w:hint="eastAsia" w:ascii="仿宋" w:hAnsi="仿宋" w:eastAsia="仿宋" w:cs="仿宋"/>
          <w:sz w:val="32"/>
          <w:szCs w:val="32"/>
        </w:rPr>
        <w:t>、对通过初审人员由评委会分配受理号，申报人根据《报送工程师评审材料目录》（附件</w:t>
      </w:r>
      <w:r>
        <w:rPr>
          <w:rFonts w:hint="eastAsia" w:ascii="仿宋" w:hAnsi="仿宋" w:eastAsia="仿宋" w:cs="仿宋"/>
          <w:sz w:val="32"/>
          <w:szCs w:val="32"/>
          <w:lang w:val="en-US" w:eastAsia="zh-CN"/>
        </w:rPr>
        <w:t>2</w:t>
      </w:r>
      <w:r>
        <w:rPr>
          <w:rFonts w:hint="eastAsia" w:ascii="仿宋" w:hAnsi="仿宋" w:eastAsia="仿宋" w:cs="仿宋"/>
          <w:sz w:val="32"/>
          <w:szCs w:val="32"/>
        </w:rPr>
        <w:t>）要求打印材料并装订成册，递交至指定地点；初审未通过的，通过职称服务系统告知申报人。</w:t>
      </w:r>
    </w:p>
    <w:p w14:paraId="6450A4B4">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highlight w:val="none"/>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8</w:t>
      </w:r>
      <w:r>
        <w:rPr>
          <w:rFonts w:hint="eastAsia" w:ascii="仿宋" w:hAnsi="仿宋" w:eastAsia="仿宋" w:cs="仿宋"/>
          <w:sz w:val="32"/>
          <w:szCs w:val="32"/>
        </w:rPr>
        <w:t>、所有上传文件的名称请按照文件内容情况分别取名，避免漏传、重复上传、错误上传等现象。审核通过后系统将默认材料不得修改，如产生上述情况，由申报人承担相应后果。如报送的书面材料与系统上传的材料不一致，以系统上传材料为准。未上传至系统的书</w:t>
      </w:r>
      <w:r>
        <w:rPr>
          <w:rFonts w:hint="eastAsia" w:ascii="仿宋" w:hAnsi="仿宋" w:eastAsia="仿宋" w:cs="仿宋"/>
          <w:sz w:val="32"/>
          <w:szCs w:val="32"/>
          <w:highlight w:val="none"/>
        </w:rPr>
        <w:t>面材料不得作为当年的申报材料。</w:t>
      </w:r>
    </w:p>
    <w:p w14:paraId="7FB9F1E1">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highlight w:val="none"/>
        </w:rPr>
        <w:t>　</w:t>
      </w:r>
      <w:r>
        <w:rPr>
          <w:rFonts w:hint="eastAsia" w:ascii="仿宋" w:hAnsi="仿宋" w:eastAsia="仿宋" w:cs="仿宋"/>
          <w:sz w:val="32"/>
          <w:szCs w:val="32"/>
          <w:highlight w:val="none"/>
          <w:lang w:val="en-US" w:eastAsia="zh-CN"/>
        </w:rPr>
        <w:t xml:space="preserve">  9</w:t>
      </w:r>
      <w:r>
        <w:rPr>
          <w:rFonts w:hint="eastAsia" w:ascii="仿宋" w:hAnsi="仿宋" w:eastAsia="仿宋" w:cs="仿宋"/>
          <w:sz w:val="32"/>
          <w:szCs w:val="32"/>
          <w:highlight w:val="none"/>
        </w:rPr>
        <w:t>、评委会组织安排申报人</w:t>
      </w:r>
      <w:r>
        <w:rPr>
          <w:rFonts w:hint="eastAsia" w:ascii="仿宋" w:hAnsi="仿宋" w:eastAsia="仿宋" w:cs="仿宋"/>
          <w:b/>
          <w:sz w:val="32"/>
          <w:szCs w:val="32"/>
          <w:highlight w:val="none"/>
        </w:rPr>
        <w:t>全员</w:t>
      </w:r>
      <w:r>
        <w:rPr>
          <w:rFonts w:hint="eastAsia" w:ascii="仿宋" w:hAnsi="仿宋" w:eastAsia="仿宋" w:cs="仿宋"/>
          <w:b/>
          <w:sz w:val="32"/>
          <w:szCs w:val="32"/>
          <w:highlight w:val="none"/>
          <w:lang w:val="en-US" w:eastAsia="zh-CN"/>
        </w:rPr>
        <w:t>现场面谈</w:t>
      </w:r>
      <w:r>
        <w:rPr>
          <w:rFonts w:hint="eastAsia" w:ascii="仿宋" w:hAnsi="仿宋" w:eastAsia="仿宋" w:cs="仿宋"/>
          <w:sz w:val="32"/>
          <w:szCs w:val="32"/>
          <w:highlight w:val="none"/>
        </w:rPr>
        <w:t>。申报人员</w:t>
      </w:r>
      <w:r>
        <w:rPr>
          <w:rFonts w:hint="eastAsia" w:ascii="仿宋" w:hAnsi="仿宋" w:eastAsia="仿宋" w:cs="仿宋"/>
          <w:sz w:val="32"/>
          <w:szCs w:val="32"/>
        </w:rPr>
        <w:t>须在规定时间参加专家面</w:t>
      </w:r>
      <w:r>
        <w:rPr>
          <w:rFonts w:hint="eastAsia" w:ascii="仿宋" w:hAnsi="仿宋" w:eastAsia="仿宋" w:cs="仿宋"/>
          <w:sz w:val="32"/>
          <w:szCs w:val="32"/>
          <w:lang w:val="en-US" w:eastAsia="zh-CN"/>
        </w:rPr>
        <w:t>谈</w:t>
      </w:r>
      <w:r>
        <w:rPr>
          <w:rFonts w:hint="eastAsia" w:ascii="仿宋" w:hAnsi="仿宋" w:eastAsia="仿宋" w:cs="仿宋"/>
          <w:sz w:val="32"/>
          <w:szCs w:val="32"/>
        </w:rPr>
        <w:t>，面</w:t>
      </w:r>
      <w:r>
        <w:rPr>
          <w:rFonts w:hint="eastAsia" w:ascii="仿宋" w:hAnsi="仿宋" w:eastAsia="仿宋" w:cs="仿宋"/>
          <w:sz w:val="32"/>
          <w:szCs w:val="32"/>
          <w:lang w:val="en-US" w:eastAsia="zh-CN"/>
        </w:rPr>
        <w:t>谈</w:t>
      </w:r>
      <w:r>
        <w:rPr>
          <w:rFonts w:hint="eastAsia" w:ascii="仿宋" w:hAnsi="仿宋" w:eastAsia="仿宋" w:cs="仿宋"/>
          <w:sz w:val="32"/>
          <w:szCs w:val="32"/>
        </w:rPr>
        <w:t>情况作为评审重要内容，无故缺席的将视为自动放弃，不予通过评审。面</w:t>
      </w:r>
      <w:r>
        <w:rPr>
          <w:rFonts w:hint="eastAsia" w:ascii="仿宋" w:hAnsi="仿宋" w:eastAsia="仿宋" w:cs="仿宋"/>
          <w:sz w:val="32"/>
          <w:szCs w:val="32"/>
          <w:lang w:val="en-US" w:eastAsia="zh-CN"/>
        </w:rPr>
        <w:t>谈</w:t>
      </w:r>
      <w:r>
        <w:rPr>
          <w:rFonts w:hint="eastAsia" w:ascii="仿宋" w:hAnsi="仿宋" w:eastAsia="仿宋" w:cs="仿宋"/>
          <w:sz w:val="32"/>
          <w:szCs w:val="32"/>
        </w:rPr>
        <w:t>考察范围不局限于送审文章，凡与职称评审中涉及的内容均在面</w:t>
      </w:r>
      <w:r>
        <w:rPr>
          <w:rFonts w:hint="eastAsia" w:ascii="仿宋" w:hAnsi="仿宋" w:eastAsia="仿宋" w:cs="仿宋"/>
          <w:sz w:val="32"/>
          <w:szCs w:val="32"/>
          <w:lang w:val="en-US" w:eastAsia="zh-CN"/>
        </w:rPr>
        <w:t>谈</w:t>
      </w:r>
      <w:r>
        <w:rPr>
          <w:rFonts w:hint="eastAsia" w:ascii="仿宋" w:hAnsi="仿宋" w:eastAsia="仿宋" w:cs="仿宋"/>
          <w:sz w:val="32"/>
          <w:szCs w:val="32"/>
        </w:rPr>
        <w:t>范围内。</w:t>
      </w:r>
    </w:p>
    <w:p w14:paraId="6C282E87">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iCs/>
          <w:sz w:val="32"/>
          <w:szCs w:val="32"/>
          <w:highlight w:val="none"/>
        </w:rPr>
      </w:pPr>
      <w:r>
        <w:rPr>
          <w:rFonts w:hint="eastAsia" w:ascii="仿宋" w:hAnsi="仿宋" w:eastAsia="仿宋" w:cs="仿宋"/>
          <w:sz w:val="32"/>
          <w:szCs w:val="32"/>
          <w:lang w:val="en-US" w:eastAsia="zh-CN"/>
        </w:rPr>
        <w:t>10</w:t>
      </w:r>
      <w:r>
        <w:rPr>
          <w:rFonts w:hint="eastAsia" w:ascii="仿宋" w:hAnsi="仿宋" w:eastAsia="仿宋" w:cs="仿宋"/>
          <w:sz w:val="32"/>
          <w:szCs w:val="32"/>
        </w:rPr>
        <w:t>、评审会议结束后，评委会将结果上报市人力资源社会保障局，并在“上海市职称服务系统—评审结果”中</w:t>
      </w:r>
      <w:r>
        <w:rPr>
          <w:rFonts w:hint="eastAsia" w:ascii="仿宋" w:hAnsi="仿宋" w:eastAsia="仿宋" w:cs="仿宋"/>
          <w:sz w:val="32"/>
          <w:szCs w:val="32"/>
          <w:highlight w:val="none"/>
        </w:rPr>
        <w:t>公示至少5个工作日。经公示无异议后，由市人力资源社会保障局制作电子证书。</w:t>
      </w:r>
      <w:r>
        <w:rPr>
          <w:rFonts w:hint="eastAsia" w:ascii="仿宋" w:hAnsi="仿宋" w:eastAsia="仿宋" w:cs="仿宋"/>
          <w:b w:val="0"/>
          <w:bCs w:val="0"/>
          <w:i w:val="0"/>
          <w:iCs/>
          <w:sz w:val="32"/>
          <w:szCs w:val="32"/>
          <w:highlight w:val="none"/>
        </w:rPr>
        <w:t>评审未通过人员，申报表与材料复印件将由评委会统一保密处理，不予退还。</w:t>
      </w:r>
    </w:p>
    <w:p w14:paraId="0FA83013">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楷体" w:hAnsi="楷体" w:eastAsia="楷体" w:cs="楷体"/>
          <w:b/>
          <w:sz w:val="32"/>
          <w:szCs w:val="32"/>
        </w:rPr>
      </w:pPr>
      <w:r>
        <w:rPr>
          <w:rFonts w:hint="eastAsia" w:ascii="楷体" w:hAnsi="楷体" w:eastAsia="楷体" w:cs="楷体"/>
          <w:b/>
          <w:sz w:val="32"/>
          <w:szCs w:val="32"/>
        </w:rPr>
        <w:t xml:space="preserve">    （二）网上申报时间</w:t>
      </w:r>
    </w:p>
    <w:p w14:paraId="1CA8D174">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highlight w:val="none"/>
        </w:rPr>
      </w:pPr>
      <w:r>
        <w:rPr>
          <w:rFonts w:hint="eastAsia" w:ascii="仿宋" w:hAnsi="仿宋" w:eastAsia="仿宋" w:cs="仿宋"/>
          <w:b/>
          <w:sz w:val="32"/>
          <w:szCs w:val="32"/>
          <w:highlight w:val="none"/>
        </w:rPr>
        <w:t xml:space="preserve">    </w:t>
      </w:r>
      <w:r>
        <w:rPr>
          <w:rFonts w:hint="eastAsia" w:ascii="仿宋" w:hAnsi="仿宋" w:eastAsia="仿宋" w:cs="仿宋"/>
          <w:sz w:val="32"/>
          <w:szCs w:val="32"/>
          <w:highlight w:val="none"/>
        </w:rPr>
        <w:t>1、申报时间：202</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23日-7月4</w:t>
      </w:r>
      <w:r>
        <w:rPr>
          <w:rFonts w:hint="eastAsia" w:ascii="仿宋" w:hAnsi="仿宋" w:eastAsia="仿宋" w:cs="仿宋"/>
          <w:sz w:val="32"/>
          <w:szCs w:val="32"/>
          <w:highlight w:val="none"/>
        </w:rPr>
        <w:t>日17：00</w:t>
      </w:r>
    </w:p>
    <w:p w14:paraId="15510DE2">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    </w:t>
      </w:r>
      <w:r>
        <w:rPr>
          <w:rFonts w:hint="eastAsia" w:ascii="仿宋" w:hAnsi="仿宋" w:eastAsia="仿宋" w:cs="仿宋"/>
          <w:sz w:val="32"/>
          <w:szCs w:val="32"/>
          <w:highlight w:val="none"/>
          <w:lang w:val="en-US" w:eastAsia="zh-CN"/>
        </w:rPr>
        <w:t>7</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日17:00前，申报人须在“上海市职称申报系统”中成功首次上报申报材料，逾时系统将自动关闭，无法参加本年度评审。</w:t>
      </w:r>
    </w:p>
    <w:p w14:paraId="46996FE4">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    2、修改时间：202</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23</w:t>
      </w:r>
      <w:r>
        <w:rPr>
          <w:rFonts w:hint="eastAsia" w:ascii="仿宋" w:hAnsi="仿宋" w:eastAsia="仿宋" w:cs="仿宋"/>
          <w:sz w:val="32"/>
          <w:szCs w:val="32"/>
          <w:highlight w:val="none"/>
        </w:rPr>
        <w:t>日-8月</w:t>
      </w:r>
      <w:r>
        <w:rPr>
          <w:rFonts w:hint="eastAsia" w:ascii="仿宋" w:hAnsi="仿宋" w:eastAsia="仿宋" w:cs="仿宋"/>
          <w:sz w:val="32"/>
          <w:szCs w:val="32"/>
          <w:highlight w:val="none"/>
          <w:lang w:val="en-US" w:eastAsia="zh-CN"/>
        </w:rPr>
        <w:t>11</w:t>
      </w:r>
      <w:r>
        <w:rPr>
          <w:rFonts w:hint="eastAsia" w:ascii="仿宋" w:hAnsi="仿宋" w:eastAsia="仿宋" w:cs="仿宋"/>
          <w:sz w:val="32"/>
          <w:szCs w:val="32"/>
          <w:highlight w:val="none"/>
        </w:rPr>
        <w:t>日17：00</w:t>
      </w:r>
    </w:p>
    <w:p w14:paraId="2FD1E087">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    8月</w:t>
      </w:r>
      <w:r>
        <w:rPr>
          <w:rFonts w:hint="eastAsia" w:ascii="仿宋" w:hAnsi="仿宋" w:eastAsia="仿宋" w:cs="仿宋"/>
          <w:sz w:val="32"/>
          <w:szCs w:val="32"/>
          <w:highlight w:val="none"/>
          <w:lang w:val="en-US" w:eastAsia="zh-CN"/>
        </w:rPr>
        <w:t>11</w:t>
      </w:r>
      <w:r>
        <w:rPr>
          <w:rFonts w:hint="eastAsia" w:ascii="仿宋" w:hAnsi="仿宋" w:eastAsia="仿宋" w:cs="仿宋"/>
          <w:sz w:val="32"/>
          <w:szCs w:val="32"/>
          <w:highlight w:val="none"/>
        </w:rPr>
        <w:t>日17：00前，对于因申报人材料不全、经评委会驳回未在规定时限内完成修改并再次上报的，评委会办公室将不再受理。</w:t>
      </w:r>
    </w:p>
    <w:p w14:paraId="2232E0FE">
      <w:pPr>
        <w:pStyle w:val="6"/>
        <w:keepNext w:val="0"/>
        <w:keepLines w:val="0"/>
        <w:pageBreakBefore w:val="0"/>
        <w:widowControl w:val="0"/>
        <w:shd w:val="clear" w:color="auto" w:fill="FFFFFF"/>
        <w:kinsoku/>
        <w:wordWrap/>
        <w:overflowPunct/>
        <w:topLinePunct/>
        <w:autoSpaceDE w:val="0"/>
        <w:autoSpaceDN w:val="0"/>
        <w:bidi w:val="0"/>
        <w:adjustRightInd w:val="0"/>
        <w:snapToGrid w:val="0"/>
        <w:spacing w:before="0" w:beforeAutospacing="0" w:after="0" w:afterAutospacing="0" w:line="560" w:lineRule="exact"/>
        <w:ind w:firstLine="480"/>
        <w:textAlignment w:val="auto"/>
        <w:rPr>
          <w:rFonts w:hint="eastAsia" w:ascii="黑体" w:hAnsi="黑体" w:eastAsia="黑体" w:cs="黑体"/>
          <w:b/>
          <w:sz w:val="32"/>
          <w:szCs w:val="32"/>
          <w:highlight w:val="none"/>
        </w:rPr>
      </w:pPr>
      <w:r>
        <w:rPr>
          <w:rFonts w:hint="eastAsia" w:ascii="黑体" w:hAnsi="黑体" w:eastAsia="黑体" w:cs="黑体"/>
          <w:b/>
          <w:sz w:val="32"/>
          <w:szCs w:val="32"/>
          <w:highlight w:val="none"/>
        </w:rPr>
        <w:t xml:space="preserve">    五、报送材料内容及要求</w:t>
      </w:r>
    </w:p>
    <w:p w14:paraId="3F6F8F18">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楷体" w:hAnsi="楷体" w:eastAsia="楷体" w:cs="楷体"/>
          <w:b/>
          <w:sz w:val="32"/>
          <w:szCs w:val="32"/>
        </w:rPr>
      </w:pPr>
      <w:r>
        <w:rPr>
          <w:rFonts w:hint="eastAsia" w:ascii="楷体" w:hAnsi="楷体" w:eastAsia="楷体" w:cs="楷体"/>
          <w:b/>
          <w:sz w:val="32"/>
          <w:szCs w:val="32"/>
        </w:rPr>
        <w:t xml:space="preserve">    （一）申报材料准备</w:t>
      </w:r>
    </w:p>
    <w:p w14:paraId="24DEB18B">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b/>
          <w:sz w:val="32"/>
          <w:szCs w:val="32"/>
        </w:rPr>
        <w:t xml:space="preserve">    </w:t>
      </w:r>
      <w:r>
        <w:rPr>
          <w:rFonts w:hint="eastAsia" w:ascii="仿宋" w:hAnsi="仿宋" w:eastAsia="仿宋" w:cs="仿宋"/>
          <w:sz w:val="32"/>
          <w:szCs w:val="32"/>
        </w:rPr>
        <w:t>网上申报材料经初审通过后，申报人根据《报送工程师评审材料目录》（附件</w:t>
      </w:r>
      <w:r>
        <w:rPr>
          <w:rFonts w:hint="eastAsia" w:ascii="仿宋" w:hAnsi="仿宋" w:eastAsia="仿宋" w:cs="仿宋"/>
          <w:sz w:val="32"/>
          <w:szCs w:val="32"/>
          <w:lang w:val="en-US" w:eastAsia="zh-CN"/>
        </w:rPr>
        <w:t>2</w:t>
      </w:r>
      <w:r>
        <w:rPr>
          <w:rFonts w:hint="eastAsia" w:ascii="仿宋" w:hAnsi="仿宋" w:eastAsia="仿宋" w:cs="仿宋"/>
          <w:sz w:val="32"/>
          <w:szCs w:val="32"/>
        </w:rPr>
        <w:t>）要求打印材料。经个人签署承诺和单位人事部门审核，填写审核（推荐）意见并盖章后，将所有材料统一装入档案袋，向评委会指定地点报送。报送材料须与网上申报材料内容一致,并确保各项材料均真实、有效。其中，证书、证件等材料原件经真实性审核后现场退还。</w:t>
      </w:r>
    </w:p>
    <w:p w14:paraId="228FBC51">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b/>
          <w:color w:val="FF0000"/>
          <w:sz w:val="32"/>
          <w:szCs w:val="32"/>
        </w:rPr>
      </w:pPr>
      <w:r>
        <w:rPr>
          <w:rFonts w:hint="eastAsia" w:ascii="仿宋" w:hAnsi="仿宋" w:eastAsia="仿宋" w:cs="仿宋"/>
          <w:b/>
          <w:color w:val="FF0000"/>
          <w:sz w:val="32"/>
          <w:szCs w:val="32"/>
        </w:rPr>
        <w:t>申报材料实行个人承诺制，申报人员应如实报送材料，发现有弄虚作假行为的，将取消本年度评审资格并从次年起3年内不得申报。</w:t>
      </w:r>
    </w:p>
    <w:p w14:paraId="0B1B10BE">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楷体" w:hAnsi="楷体" w:eastAsia="楷体" w:cs="楷体"/>
          <w:b/>
          <w:sz w:val="32"/>
          <w:szCs w:val="32"/>
        </w:rPr>
      </w:pPr>
      <w:r>
        <w:rPr>
          <w:rFonts w:hint="eastAsia" w:ascii="楷体" w:hAnsi="楷体" w:eastAsia="楷体" w:cs="楷体"/>
          <w:b/>
          <w:sz w:val="32"/>
          <w:szCs w:val="32"/>
        </w:rPr>
        <w:t xml:space="preserve">    （二）材料报送时间</w:t>
      </w:r>
    </w:p>
    <w:p w14:paraId="7A2A3385">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highlight w:val="none"/>
        </w:rPr>
        <w:t xml:space="preserve">    202</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年8月</w:t>
      </w:r>
      <w:r>
        <w:rPr>
          <w:rFonts w:hint="eastAsia" w:ascii="仿宋" w:hAnsi="仿宋" w:eastAsia="仿宋" w:cs="仿宋"/>
          <w:sz w:val="32"/>
          <w:szCs w:val="32"/>
          <w:highlight w:val="none"/>
          <w:lang w:val="en-US" w:eastAsia="zh-CN"/>
        </w:rPr>
        <w:t>18日</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8月22</w:t>
      </w:r>
      <w:r>
        <w:rPr>
          <w:rFonts w:hint="eastAsia" w:ascii="仿宋" w:hAnsi="仿宋" w:eastAsia="仿宋" w:cs="仿宋"/>
          <w:sz w:val="32"/>
          <w:szCs w:val="32"/>
          <w:highlight w:val="none"/>
        </w:rPr>
        <w:t>日9:00-11:00,13</w:t>
      </w:r>
      <w:r>
        <w:rPr>
          <w:rFonts w:hint="eastAsia" w:ascii="仿宋" w:hAnsi="仿宋" w:eastAsia="仿宋" w:cs="仿宋"/>
          <w:sz w:val="32"/>
          <w:szCs w:val="32"/>
        </w:rPr>
        <w:t>:30-1</w:t>
      </w:r>
      <w:r>
        <w:rPr>
          <w:rFonts w:hint="eastAsia" w:ascii="仿宋" w:hAnsi="仿宋" w:eastAsia="仿宋" w:cs="仿宋"/>
          <w:sz w:val="32"/>
          <w:szCs w:val="32"/>
          <w:lang w:val="en-US" w:eastAsia="zh-CN"/>
        </w:rPr>
        <w:t>5</w:t>
      </w:r>
      <w:r>
        <w:rPr>
          <w:rFonts w:hint="eastAsia" w:ascii="仿宋" w:hAnsi="仿宋" w:eastAsia="仿宋" w:cs="仿宋"/>
          <w:sz w:val="32"/>
          <w:szCs w:val="32"/>
        </w:rPr>
        <w:t>:</w:t>
      </w:r>
      <w:r>
        <w:rPr>
          <w:rFonts w:hint="eastAsia" w:ascii="仿宋" w:hAnsi="仿宋" w:eastAsia="仿宋" w:cs="仿宋"/>
          <w:sz w:val="32"/>
          <w:szCs w:val="32"/>
          <w:lang w:val="en-US" w:eastAsia="zh-CN"/>
        </w:rPr>
        <w:t>3</w:t>
      </w:r>
      <w:r>
        <w:rPr>
          <w:rFonts w:hint="eastAsia" w:ascii="仿宋" w:hAnsi="仿宋" w:eastAsia="仿宋" w:cs="仿宋"/>
          <w:sz w:val="32"/>
          <w:szCs w:val="32"/>
        </w:rPr>
        <w:t>0，逾期将不再受理。</w:t>
      </w:r>
    </w:p>
    <w:p w14:paraId="4B4F0710">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楷体" w:hAnsi="楷体" w:eastAsia="楷体" w:cs="楷体"/>
          <w:b/>
          <w:sz w:val="32"/>
          <w:szCs w:val="32"/>
        </w:rPr>
      </w:pPr>
      <w:r>
        <w:rPr>
          <w:rFonts w:hint="eastAsia" w:ascii="楷体" w:hAnsi="楷体" w:eastAsia="楷体" w:cs="楷体"/>
          <w:b/>
          <w:sz w:val="32"/>
          <w:szCs w:val="32"/>
        </w:rPr>
        <w:t xml:space="preserve">    （三）材料报送地址</w:t>
      </w:r>
    </w:p>
    <w:p w14:paraId="1CB6C300">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rPr>
      </w:pPr>
      <w:r>
        <w:rPr>
          <w:rFonts w:hint="eastAsia" w:ascii="仿宋" w:hAnsi="仿宋" w:eastAsia="仿宋" w:cs="仿宋"/>
          <w:sz w:val="32"/>
          <w:szCs w:val="32"/>
        </w:rPr>
        <w:t>黄陂北路9号上海市交通委员会职业资格中心3楼</w:t>
      </w:r>
    </w:p>
    <w:p w14:paraId="2C4B29EF">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楷体" w:hAnsi="楷体" w:eastAsia="楷体" w:cs="楷体"/>
          <w:b/>
          <w:sz w:val="32"/>
          <w:szCs w:val="32"/>
        </w:rPr>
      </w:pPr>
      <w:r>
        <w:rPr>
          <w:rFonts w:hint="eastAsia" w:ascii="楷体" w:hAnsi="楷体" w:eastAsia="楷体" w:cs="楷体"/>
          <w:b/>
          <w:sz w:val="32"/>
          <w:szCs w:val="32"/>
        </w:rPr>
        <w:t xml:space="preserve">    （四）联系方式</w:t>
      </w:r>
    </w:p>
    <w:p w14:paraId="3B8EB721">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李老师、陈老师，电话：53950532、53950619</w:t>
      </w:r>
    </w:p>
    <w:p w14:paraId="3C078A41">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楷体" w:hAnsi="楷体" w:eastAsia="楷体" w:cs="楷体"/>
          <w:b/>
          <w:sz w:val="32"/>
          <w:szCs w:val="32"/>
        </w:rPr>
      </w:pPr>
      <w:r>
        <w:rPr>
          <w:rFonts w:hint="eastAsia" w:ascii="楷体" w:hAnsi="楷体" w:eastAsia="楷体" w:cs="楷体"/>
          <w:b/>
          <w:sz w:val="32"/>
          <w:szCs w:val="32"/>
        </w:rPr>
        <w:t xml:space="preserve">    （五）</w:t>
      </w:r>
      <w:bookmarkStart w:id="0" w:name="_GoBack"/>
      <w:bookmarkEnd w:id="0"/>
      <w:r>
        <w:rPr>
          <w:rFonts w:hint="eastAsia" w:ascii="楷体" w:hAnsi="楷体" w:eastAsia="楷体" w:cs="楷体"/>
          <w:b/>
          <w:sz w:val="32"/>
          <w:szCs w:val="32"/>
        </w:rPr>
        <w:t>费用</w:t>
      </w:r>
    </w:p>
    <w:p w14:paraId="6212F1F9">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textAlignment w:val="auto"/>
        <w:rPr>
          <w:rFonts w:hint="eastAsia" w:ascii="仿宋" w:hAnsi="仿宋" w:eastAsia="仿宋" w:cs="仿宋"/>
          <w:sz w:val="32"/>
          <w:szCs w:val="32"/>
        </w:rPr>
      </w:pPr>
      <w:r>
        <w:rPr>
          <w:rFonts w:hint="eastAsia" w:ascii="仿宋" w:hAnsi="仿宋" w:eastAsia="仿宋" w:cs="仿宋"/>
          <w:b/>
          <w:sz w:val="32"/>
          <w:szCs w:val="32"/>
        </w:rPr>
        <w:t xml:space="preserve">    </w:t>
      </w:r>
      <w:r>
        <w:rPr>
          <w:rFonts w:hint="eastAsia" w:ascii="仿宋" w:hAnsi="仿宋" w:eastAsia="仿宋" w:cs="仿宋"/>
          <w:sz w:val="32"/>
          <w:szCs w:val="32"/>
        </w:rPr>
        <w:t>中级职称评审费每人800元（含论文查重费），于递交纸质材料现场交齐。</w:t>
      </w:r>
    </w:p>
    <w:p w14:paraId="5CCA138D">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640"/>
        <w:textAlignment w:val="auto"/>
        <w:rPr>
          <w:rFonts w:hint="eastAsia" w:ascii="仿宋" w:hAnsi="仿宋" w:eastAsia="仿宋" w:cs="仿宋"/>
          <w:sz w:val="32"/>
          <w:szCs w:val="32"/>
          <w:shd w:val="clear" w:color="auto" w:fill="FFFFFF"/>
        </w:rPr>
      </w:pPr>
    </w:p>
    <w:p w14:paraId="6B21DE46">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64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特此通知。</w:t>
      </w:r>
    </w:p>
    <w:p w14:paraId="33BA4B6B">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640"/>
        <w:textAlignment w:val="auto"/>
        <w:rPr>
          <w:rFonts w:hint="eastAsia" w:ascii="仿宋" w:hAnsi="仿宋" w:eastAsia="仿宋" w:cs="仿宋"/>
          <w:sz w:val="32"/>
          <w:szCs w:val="32"/>
          <w:shd w:val="clear" w:color="auto" w:fill="FFFFFF"/>
        </w:rPr>
      </w:pPr>
    </w:p>
    <w:p w14:paraId="7D399C1A">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640"/>
        <w:textAlignment w:val="auto"/>
        <w:rPr>
          <w:rFonts w:hint="eastAsia" w:ascii="仿宋" w:hAnsi="仿宋" w:eastAsia="仿宋" w:cs="仿宋"/>
          <w:sz w:val="32"/>
          <w:szCs w:val="32"/>
          <w:shd w:val="clear" w:color="auto" w:fill="FFFFFF"/>
        </w:rPr>
      </w:pPr>
    </w:p>
    <w:p w14:paraId="1F362BF2">
      <w:pPr>
        <w:pStyle w:val="6"/>
        <w:keepNext w:val="0"/>
        <w:keepLines w:val="0"/>
        <w:pageBreakBefore w:val="0"/>
        <w:widowControl w:val="0"/>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附件：</w:t>
      </w:r>
    </w:p>
    <w:p w14:paraId="1041F0AC">
      <w:pPr>
        <w:pStyle w:val="6"/>
        <w:keepNext w:val="0"/>
        <w:keepLines w:val="0"/>
        <w:pageBreakBefore w:val="0"/>
        <w:widowControl w:val="0"/>
        <w:numPr>
          <w:ilvl w:val="0"/>
          <w:numId w:val="3"/>
        </w:numPr>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交通工程专业工程师网上</w:t>
      </w:r>
      <w:r>
        <w:rPr>
          <w:rFonts w:hint="eastAsia" w:ascii="仿宋" w:hAnsi="仿宋" w:eastAsia="仿宋" w:cs="仿宋"/>
          <w:sz w:val="32"/>
          <w:szCs w:val="32"/>
          <w:shd w:val="clear" w:color="auto" w:fill="FFFFFF"/>
          <w:lang w:val="en-US" w:eastAsia="zh-CN"/>
        </w:rPr>
        <w:t>填报</w:t>
      </w:r>
      <w:r>
        <w:rPr>
          <w:rFonts w:hint="eastAsia" w:ascii="仿宋" w:hAnsi="仿宋" w:eastAsia="仿宋" w:cs="仿宋"/>
          <w:sz w:val="32"/>
          <w:szCs w:val="32"/>
          <w:shd w:val="clear" w:color="auto" w:fill="FFFFFF"/>
        </w:rPr>
        <w:t>指南</w:t>
      </w:r>
    </w:p>
    <w:p w14:paraId="4426EAC1">
      <w:pPr>
        <w:pStyle w:val="6"/>
        <w:keepNext w:val="0"/>
        <w:keepLines w:val="0"/>
        <w:pageBreakBefore w:val="0"/>
        <w:widowControl w:val="0"/>
        <w:numPr>
          <w:ilvl w:val="0"/>
          <w:numId w:val="3"/>
        </w:numPr>
        <w:shd w:val="clear" w:color="auto" w:fill="FFFFFF"/>
        <w:wordWrap w:val="0"/>
        <w:overflowPunct/>
        <w:topLinePunct/>
        <w:autoSpaceDE/>
        <w:autoSpaceDN/>
        <w:bidi w:val="0"/>
        <w:adjustRightInd/>
        <w:snapToGrid/>
        <w:spacing w:before="0" w:beforeAutospacing="0" w:after="0" w:afterAutospacing="0" w:line="560" w:lineRule="exact"/>
        <w:ind w:firstLine="48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报送工程师评审材料目录</w:t>
      </w:r>
    </w:p>
    <w:p w14:paraId="0C677EB5">
      <w:pPr>
        <w:pStyle w:val="6"/>
        <w:keepNext w:val="0"/>
        <w:keepLines w:val="0"/>
        <w:pageBreakBefore w:val="0"/>
        <w:widowControl w:val="0"/>
        <w:numPr>
          <w:ilvl w:val="0"/>
          <w:numId w:val="0"/>
        </w:numPr>
        <w:shd w:val="clear" w:color="auto" w:fill="FFFFFF"/>
        <w:wordWrap w:val="0"/>
        <w:overflowPunct/>
        <w:topLinePunct/>
        <w:autoSpaceDE/>
        <w:autoSpaceDN/>
        <w:bidi w:val="0"/>
        <w:adjustRightInd/>
        <w:snapToGrid/>
        <w:spacing w:before="0" w:beforeAutospacing="0" w:after="0" w:afterAutospacing="0" w:line="560" w:lineRule="exact"/>
        <w:jc w:val="left"/>
        <w:textAlignment w:val="auto"/>
        <w:rPr>
          <w:rFonts w:hint="eastAsia" w:ascii="仿宋" w:hAnsi="仿宋" w:eastAsia="仿宋" w:cs="仿宋"/>
          <w:sz w:val="32"/>
          <w:szCs w:val="32"/>
          <w:shd w:val="clear" w:color="auto" w:fill="FFFFFF"/>
        </w:rPr>
      </w:pPr>
    </w:p>
    <w:p w14:paraId="7F4A6751">
      <w:pPr>
        <w:pStyle w:val="6"/>
        <w:keepNext w:val="0"/>
        <w:keepLines w:val="0"/>
        <w:pageBreakBefore w:val="0"/>
        <w:widowControl w:val="0"/>
        <w:numPr>
          <w:ilvl w:val="0"/>
          <w:numId w:val="0"/>
        </w:numPr>
        <w:shd w:val="clear" w:color="auto" w:fill="FFFFFF"/>
        <w:wordWrap w:val="0"/>
        <w:overflowPunct/>
        <w:topLinePunct/>
        <w:autoSpaceDE/>
        <w:autoSpaceDN/>
        <w:bidi w:val="0"/>
        <w:adjustRightInd/>
        <w:snapToGrid/>
        <w:spacing w:before="0" w:beforeAutospacing="0" w:after="0" w:afterAutospacing="0" w:line="560" w:lineRule="exact"/>
        <w:jc w:val="left"/>
        <w:textAlignment w:val="auto"/>
        <w:rPr>
          <w:rFonts w:hint="eastAsia" w:ascii="仿宋" w:hAnsi="仿宋" w:eastAsia="仿宋" w:cs="仿宋"/>
          <w:sz w:val="32"/>
          <w:szCs w:val="32"/>
          <w:shd w:val="clear" w:color="auto" w:fill="FFFFFF"/>
        </w:rPr>
      </w:pPr>
    </w:p>
    <w:p w14:paraId="305031B9">
      <w:pPr>
        <w:pStyle w:val="6"/>
        <w:keepNext w:val="0"/>
        <w:keepLines w:val="0"/>
        <w:pageBreakBefore w:val="0"/>
        <w:widowControl w:val="0"/>
        <w:shd w:val="clear" w:color="auto" w:fill="FFFFFF"/>
        <w:kinsoku/>
        <w:wordWrap w:val="0"/>
        <w:overflowPunct/>
        <w:topLinePunct/>
        <w:autoSpaceDE/>
        <w:autoSpaceDN/>
        <w:bidi w:val="0"/>
        <w:adjustRightInd/>
        <w:snapToGrid/>
        <w:spacing w:before="0" w:beforeAutospacing="0" w:after="0" w:afterAutospacing="0" w:line="560" w:lineRule="exact"/>
        <w:jc w:val="right"/>
        <w:textAlignment w:val="auto"/>
        <w:rPr>
          <w:rFonts w:hint="eastAsia" w:ascii="仿宋" w:hAnsi="仿宋" w:eastAsia="仿宋" w:cs="仿宋"/>
          <w:sz w:val="32"/>
          <w:szCs w:val="32"/>
          <w:highlight w:val="none"/>
        </w:rPr>
      </w:pPr>
      <w:r>
        <w:rPr>
          <w:rFonts w:hint="eastAsia" w:ascii="仿宋" w:hAnsi="仿宋" w:eastAsia="仿宋" w:cs="仿宋"/>
          <w:sz w:val="32"/>
          <w:szCs w:val="32"/>
          <w:shd w:val="clear" w:color="auto" w:fill="FFFFFF"/>
        </w:rPr>
        <w:t>上海市工</w:t>
      </w:r>
      <w:r>
        <w:rPr>
          <w:rFonts w:hint="eastAsia" w:ascii="仿宋" w:hAnsi="仿宋" w:eastAsia="仿宋" w:cs="仿宋"/>
          <w:sz w:val="32"/>
          <w:szCs w:val="32"/>
          <w:highlight w:val="none"/>
          <w:shd w:val="clear" w:color="auto" w:fill="FFFFFF"/>
        </w:rPr>
        <w:t>程系列交通工程专业</w:t>
      </w:r>
      <w:r>
        <w:rPr>
          <w:rFonts w:hint="eastAsia" w:ascii="仿宋" w:hAnsi="仿宋" w:eastAsia="仿宋" w:cs="仿宋"/>
          <w:sz w:val="32"/>
          <w:szCs w:val="32"/>
          <w:highlight w:val="none"/>
          <w:shd w:val="clear" w:color="auto" w:fill="FFFFFF"/>
          <w:lang w:val="en-US" w:eastAsia="zh-CN"/>
        </w:rPr>
        <w:t xml:space="preserve">    </w:t>
      </w:r>
      <w:r>
        <w:rPr>
          <w:rFonts w:hint="eastAsia" w:ascii="仿宋" w:hAnsi="仿宋" w:eastAsia="仿宋" w:cs="仿宋"/>
          <w:sz w:val="32"/>
          <w:szCs w:val="32"/>
          <w:highlight w:val="none"/>
          <w:shd w:val="clear" w:color="auto" w:fill="FFFFFF"/>
        </w:rPr>
        <w:br w:type="textWrapping"/>
      </w:r>
      <w:r>
        <w:rPr>
          <w:rFonts w:hint="eastAsia" w:ascii="仿宋" w:hAnsi="仿宋" w:eastAsia="仿宋" w:cs="仿宋"/>
          <w:sz w:val="32"/>
          <w:szCs w:val="32"/>
          <w:highlight w:val="none"/>
          <w:shd w:val="clear" w:color="auto" w:fill="FFFFFF"/>
        </w:rPr>
        <w:t>中级职称评审委员会</w:t>
      </w:r>
      <w:r>
        <w:rPr>
          <w:rFonts w:hint="eastAsia" w:ascii="仿宋" w:hAnsi="仿宋" w:eastAsia="仿宋" w:cs="仿宋"/>
          <w:sz w:val="32"/>
          <w:szCs w:val="32"/>
          <w:highlight w:val="none"/>
          <w:shd w:val="clear" w:color="auto" w:fill="FFFFFF"/>
          <w:lang w:val="en-US" w:eastAsia="zh-CN"/>
        </w:rPr>
        <w:t xml:space="preserve">        </w:t>
      </w:r>
      <w:r>
        <w:rPr>
          <w:rFonts w:hint="eastAsia" w:ascii="仿宋" w:hAnsi="仿宋" w:eastAsia="仿宋" w:cs="仿宋"/>
          <w:sz w:val="32"/>
          <w:szCs w:val="32"/>
          <w:highlight w:val="none"/>
          <w:shd w:val="clear" w:color="auto" w:fill="FFFFFF"/>
        </w:rPr>
        <w:br w:type="textWrapping"/>
      </w:r>
      <w:r>
        <w:rPr>
          <w:rFonts w:hint="eastAsia" w:ascii="仿宋" w:hAnsi="仿宋" w:eastAsia="仿宋" w:cs="仿宋"/>
          <w:sz w:val="32"/>
          <w:szCs w:val="32"/>
          <w:highlight w:val="none"/>
          <w:shd w:val="clear" w:color="auto" w:fill="FFFFFF"/>
        </w:rPr>
        <w:t>202</w:t>
      </w:r>
      <w:r>
        <w:rPr>
          <w:rFonts w:hint="eastAsia" w:ascii="仿宋" w:hAnsi="仿宋" w:eastAsia="仿宋" w:cs="仿宋"/>
          <w:sz w:val="32"/>
          <w:szCs w:val="32"/>
          <w:highlight w:val="none"/>
          <w:shd w:val="clear" w:color="auto" w:fill="FFFFFF"/>
          <w:lang w:val="en-US" w:eastAsia="zh-CN"/>
        </w:rPr>
        <w:t>5</w:t>
      </w:r>
      <w:r>
        <w:rPr>
          <w:rFonts w:hint="eastAsia" w:ascii="仿宋" w:hAnsi="仿宋" w:eastAsia="仿宋" w:cs="仿宋"/>
          <w:sz w:val="32"/>
          <w:szCs w:val="32"/>
          <w:highlight w:val="none"/>
          <w:shd w:val="clear" w:color="auto" w:fill="FFFFFF"/>
        </w:rPr>
        <w:t>年</w:t>
      </w:r>
      <w:r>
        <w:rPr>
          <w:rFonts w:hint="eastAsia" w:ascii="仿宋" w:hAnsi="仿宋" w:eastAsia="仿宋" w:cs="仿宋"/>
          <w:sz w:val="32"/>
          <w:szCs w:val="32"/>
          <w:highlight w:val="none"/>
          <w:shd w:val="clear" w:color="auto" w:fill="FFFFFF"/>
          <w:lang w:val="en-US" w:eastAsia="zh-CN"/>
        </w:rPr>
        <w:t>6</w:t>
      </w:r>
      <w:r>
        <w:rPr>
          <w:rFonts w:hint="eastAsia" w:ascii="仿宋" w:hAnsi="仿宋" w:eastAsia="仿宋" w:cs="仿宋"/>
          <w:sz w:val="32"/>
          <w:szCs w:val="32"/>
          <w:highlight w:val="none"/>
          <w:shd w:val="clear" w:color="auto" w:fill="FFFFFF"/>
        </w:rPr>
        <w:t>月</w:t>
      </w:r>
      <w:r>
        <w:rPr>
          <w:rFonts w:hint="eastAsia" w:ascii="仿宋" w:hAnsi="仿宋" w:eastAsia="仿宋" w:cs="仿宋"/>
          <w:sz w:val="32"/>
          <w:szCs w:val="32"/>
          <w:highlight w:val="none"/>
          <w:shd w:val="clear" w:color="auto" w:fill="FFFFFF"/>
          <w:lang w:val="en-US" w:eastAsia="zh-CN"/>
        </w:rPr>
        <w:t>3</w:t>
      </w:r>
      <w:r>
        <w:rPr>
          <w:rFonts w:hint="eastAsia" w:ascii="仿宋" w:hAnsi="仿宋" w:eastAsia="仿宋" w:cs="仿宋"/>
          <w:sz w:val="32"/>
          <w:szCs w:val="32"/>
          <w:highlight w:val="none"/>
          <w:shd w:val="clear" w:color="auto" w:fill="FFFFFF"/>
        </w:rPr>
        <w:t xml:space="preserve">日 </w:t>
      </w:r>
      <w:r>
        <w:rPr>
          <w:rFonts w:hint="eastAsia" w:ascii="仿宋" w:hAnsi="仿宋" w:eastAsia="仿宋" w:cs="仿宋"/>
          <w:sz w:val="32"/>
          <w:szCs w:val="32"/>
          <w:highlight w:val="none"/>
          <w:shd w:val="clear" w:color="auto" w:fill="FFFFFF"/>
          <w:lang w:val="en-US" w:eastAsia="zh-CN"/>
        </w:rPr>
        <w:t xml:space="preserve">        </w:t>
      </w:r>
    </w:p>
    <w:sectPr>
      <w:headerReference r:id="rId3" w:type="default"/>
      <w:footerReference r:id="rId4" w:type="default"/>
      <w:pgSz w:w="11906" w:h="16838"/>
      <w:pgMar w:top="1043" w:right="1800" w:bottom="104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8164A50-FEF5-4B87-BED7-902603F139A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0010101010101"/>
    <w:charset w:val="86"/>
    <w:family w:val="auto"/>
    <w:pitch w:val="default"/>
    <w:sig w:usb0="00000001" w:usb1="080E0000" w:usb2="00000000" w:usb3="00000000" w:csb0="00040000" w:csb1="00000000"/>
    <w:embedRegular r:id="rId2" w:fontKey="{C54CBF18-8A2F-4BDE-8503-6201313B7605}"/>
  </w:font>
  <w:font w:name="仿宋">
    <w:panose1 w:val="02010609060101010101"/>
    <w:charset w:val="86"/>
    <w:family w:val="auto"/>
    <w:pitch w:val="default"/>
    <w:sig w:usb0="800002BF" w:usb1="38CF7CFA" w:usb2="00000016" w:usb3="00000000" w:csb0="00040001" w:csb1="00000000"/>
    <w:embedRegular r:id="rId3" w:fontKey="{F75A47F7-651B-4C70-A63D-2829EAD94482}"/>
  </w:font>
  <w:font w:name="楷体">
    <w:panose1 w:val="02010609060101010101"/>
    <w:charset w:val="86"/>
    <w:family w:val="auto"/>
    <w:pitch w:val="default"/>
    <w:sig w:usb0="800002BF" w:usb1="38CF7CFA" w:usb2="00000016" w:usb3="00000000" w:csb0="00040001" w:csb1="00000000"/>
    <w:embedRegular r:id="rId4" w:fontKey="{E2B92C8C-5C5C-4C98-9BD4-6D55172E61C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31239092"/>
    </w:sdtPr>
    <w:sdtContent>
      <w:p w14:paraId="77862C11">
        <w:pPr>
          <w:pStyle w:val="4"/>
          <w:jc w:val="center"/>
        </w:pPr>
        <w:r>
          <w:fldChar w:fldCharType="begin"/>
        </w:r>
        <w:r>
          <w:instrText xml:space="preserve">PAGE   \* MERGEFORMAT</w:instrText>
        </w:r>
        <w:r>
          <w:fldChar w:fldCharType="separate"/>
        </w:r>
        <w:r>
          <w:rPr>
            <w:lang w:val="zh-CN"/>
          </w:rPr>
          <w:t>1</w:t>
        </w:r>
        <w:r>
          <w:fldChar w:fldCharType="end"/>
        </w:r>
      </w:p>
    </w:sdtContent>
  </w:sdt>
  <w:p w14:paraId="19D01FCA">
    <w:pPr>
      <w:pStyle w:val="4"/>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A4A2DC">
    <w:pPr>
      <w:pStyle w:val="5"/>
      <w:pBdr>
        <w:bottom w:val="none" w:color="auto" w:sz="0" w:space="0"/>
      </w:pBdr>
      <w:rPr>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B84F75"/>
    <w:multiLevelType w:val="singleLevel"/>
    <w:tmpl w:val="F5B84F75"/>
    <w:lvl w:ilvl="0" w:tentative="0">
      <w:start w:val="1"/>
      <w:numFmt w:val="decimal"/>
      <w:suff w:val="nothing"/>
      <w:lvlText w:val="%1、"/>
      <w:lvlJc w:val="left"/>
    </w:lvl>
  </w:abstractNum>
  <w:abstractNum w:abstractNumId="1">
    <w:nsid w:val="36514E2A"/>
    <w:multiLevelType w:val="singleLevel"/>
    <w:tmpl w:val="36514E2A"/>
    <w:lvl w:ilvl="0" w:tentative="0">
      <w:start w:val="3"/>
      <w:numFmt w:val="chineseCounting"/>
      <w:suff w:val="nothing"/>
      <w:lvlText w:val="%1、"/>
      <w:lvlJc w:val="left"/>
      <w:rPr>
        <w:rFonts w:hint="eastAsia"/>
      </w:rPr>
    </w:lvl>
  </w:abstractNum>
  <w:abstractNum w:abstractNumId="2">
    <w:nsid w:val="7CD9F7A0"/>
    <w:multiLevelType w:val="singleLevel"/>
    <w:tmpl w:val="7CD9F7A0"/>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5ZmY2MTcyZGE4ZDQzMjEwMTVlZTgwMjQ2MDNmOTkifQ=="/>
  </w:docVars>
  <w:rsids>
    <w:rsidRoot w:val="0093715C"/>
    <w:rsid w:val="000036D6"/>
    <w:rsid w:val="0006171A"/>
    <w:rsid w:val="00062213"/>
    <w:rsid w:val="00065BAC"/>
    <w:rsid w:val="000731CE"/>
    <w:rsid w:val="00074F7D"/>
    <w:rsid w:val="000764FC"/>
    <w:rsid w:val="000808E9"/>
    <w:rsid w:val="00082C51"/>
    <w:rsid w:val="00083B45"/>
    <w:rsid w:val="000910B6"/>
    <w:rsid w:val="0009271C"/>
    <w:rsid w:val="000931B6"/>
    <w:rsid w:val="000A33BB"/>
    <w:rsid w:val="000C02C5"/>
    <w:rsid w:val="000D6174"/>
    <w:rsid w:val="000E3D02"/>
    <w:rsid w:val="000F3A9E"/>
    <w:rsid w:val="000F571F"/>
    <w:rsid w:val="000F7D16"/>
    <w:rsid w:val="00103B09"/>
    <w:rsid w:val="001073EC"/>
    <w:rsid w:val="001334E3"/>
    <w:rsid w:val="00133F4F"/>
    <w:rsid w:val="00142717"/>
    <w:rsid w:val="001459D6"/>
    <w:rsid w:val="00146C3D"/>
    <w:rsid w:val="00152D72"/>
    <w:rsid w:val="00153517"/>
    <w:rsid w:val="001657D3"/>
    <w:rsid w:val="001723E8"/>
    <w:rsid w:val="00173AB4"/>
    <w:rsid w:val="00176471"/>
    <w:rsid w:val="001803EB"/>
    <w:rsid w:val="00193FA7"/>
    <w:rsid w:val="001C2A63"/>
    <w:rsid w:val="001C7850"/>
    <w:rsid w:val="001D1F15"/>
    <w:rsid w:val="001D1F76"/>
    <w:rsid w:val="001D5679"/>
    <w:rsid w:val="001E53FB"/>
    <w:rsid w:val="001F348D"/>
    <w:rsid w:val="001F71E3"/>
    <w:rsid w:val="00236C66"/>
    <w:rsid w:val="00244235"/>
    <w:rsid w:val="002477AC"/>
    <w:rsid w:val="002648E0"/>
    <w:rsid w:val="00270981"/>
    <w:rsid w:val="00272ACB"/>
    <w:rsid w:val="0029023E"/>
    <w:rsid w:val="00292B70"/>
    <w:rsid w:val="002933A5"/>
    <w:rsid w:val="002951CC"/>
    <w:rsid w:val="002A4610"/>
    <w:rsid w:val="002D3EFA"/>
    <w:rsid w:val="002E2386"/>
    <w:rsid w:val="002E291B"/>
    <w:rsid w:val="00311ABD"/>
    <w:rsid w:val="00323F2E"/>
    <w:rsid w:val="00324751"/>
    <w:rsid w:val="00324D2E"/>
    <w:rsid w:val="00326C01"/>
    <w:rsid w:val="00331D92"/>
    <w:rsid w:val="0033635C"/>
    <w:rsid w:val="00345312"/>
    <w:rsid w:val="00347A1D"/>
    <w:rsid w:val="003518D4"/>
    <w:rsid w:val="00353625"/>
    <w:rsid w:val="00354AB7"/>
    <w:rsid w:val="00360C3C"/>
    <w:rsid w:val="00360D86"/>
    <w:rsid w:val="0036346F"/>
    <w:rsid w:val="0038110B"/>
    <w:rsid w:val="00381E0C"/>
    <w:rsid w:val="00383924"/>
    <w:rsid w:val="00384046"/>
    <w:rsid w:val="00384B64"/>
    <w:rsid w:val="003A3849"/>
    <w:rsid w:val="003B172E"/>
    <w:rsid w:val="003C6D4C"/>
    <w:rsid w:val="003D3EAD"/>
    <w:rsid w:val="003E2CB3"/>
    <w:rsid w:val="00400940"/>
    <w:rsid w:val="00406B9C"/>
    <w:rsid w:val="0041541F"/>
    <w:rsid w:val="00425E27"/>
    <w:rsid w:val="004350A1"/>
    <w:rsid w:val="00451852"/>
    <w:rsid w:val="00461A12"/>
    <w:rsid w:val="00484229"/>
    <w:rsid w:val="00484442"/>
    <w:rsid w:val="004A0310"/>
    <w:rsid w:val="004A502C"/>
    <w:rsid w:val="004D41B6"/>
    <w:rsid w:val="004E100B"/>
    <w:rsid w:val="004E49CC"/>
    <w:rsid w:val="004F119A"/>
    <w:rsid w:val="004F58E9"/>
    <w:rsid w:val="004F6ECA"/>
    <w:rsid w:val="005155FB"/>
    <w:rsid w:val="00532024"/>
    <w:rsid w:val="005435BB"/>
    <w:rsid w:val="005608D0"/>
    <w:rsid w:val="00561148"/>
    <w:rsid w:val="005755E8"/>
    <w:rsid w:val="00583DC8"/>
    <w:rsid w:val="005A22E6"/>
    <w:rsid w:val="005A4694"/>
    <w:rsid w:val="005B09B3"/>
    <w:rsid w:val="005B57A7"/>
    <w:rsid w:val="005B672F"/>
    <w:rsid w:val="005B7BC9"/>
    <w:rsid w:val="005C0BA3"/>
    <w:rsid w:val="005C2134"/>
    <w:rsid w:val="005E34F7"/>
    <w:rsid w:val="0060053E"/>
    <w:rsid w:val="006011DE"/>
    <w:rsid w:val="00602D23"/>
    <w:rsid w:val="00607094"/>
    <w:rsid w:val="00617F21"/>
    <w:rsid w:val="006206E0"/>
    <w:rsid w:val="006244CD"/>
    <w:rsid w:val="00631565"/>
    <w:rsid w:val="00640D46"/>
    <w:rsid w:val="00642676"/>
    <w:rsid w:val="00643B5C"/>
    <w:rsid w:val="00695553"/>
    <w:rsid w:val="006A1FD5"/>
    <w:rsid w:val="006B396C"/>
    <w:rsid w:val="006C21C3"/>
    <w:rsid w:val="006D0F43"/>
    <w:rsid w:val="006F0802"/>
    <w:rsid w:val="006F52E3"/>
    <w:rsid w:val="00700847"/>
    <w:rsid w:val="00702F9F"/>
    <w:rsid w:val="007073B7"/>
    <w:rsid w:val="007205F7"/>
    <w:rsid w:val="007431B4"/>
    <w:rsid w:val="0074547D"/>
    <w:rsid w:val="00747D1D"/>
    <w:rsid w:val="00762196"/>
    <w:rsid w:val="007646E0"/>
    <w:rsid w:val="00764DD0"/>
    <w:rsid w:val="00771684"/>
    <w:rsid w:val="0077632A"/>
    <w:rsid w:val="0078117C"/>
    <w:rsid w:val="0079577D"/>
    <w:rsid w:val="007C2843"/>
    <w:rsid w:val="007C4E6A"/>
    <w:rsid w:val="007C50A4"/>
    <w:rsid w:val="007C77D1"/>
    <w:rsid w:val="007E1BDC"/>
    <w:rsid w:val="00805526"/>
    <w:rsid w:val="0081174F"/>
    <w:rsid w:val="00832EAB"/>
    <w:rsid w:val="0083563F"/>
    <w:rsid w:val="00836B4B"/>
    <w:rsid w:val="00842820"/>
    <w:rsid w:val="00847A07"/>
    <w:rsid w:val="00847BBB"/>
    <w:rsid w:val="00851E0E"/>
    <w:rsid w:val="00870499"/>
    <w:rsid w:val="0087250A"/>
    <w:rsid w:val="00893DAA"/>
    <w:rsid w:val="00894648"/>
    <w:rsid w:val="008A2522"/>
    <w:rsid w:val="008B7A9C"/>
    <w:rsid w:val="008B7B6D"/>
    <w:rsid w:val="008C0D62"/>
    <w:rsid w:val="008D2137"/>
    <w:rsid w:val="008F7B20"/>
    <w:rsid w:val="009003C0"/>
    <w:rsid w:val="009049E4"/>
    <w:rsid w:val="00905FE0"/>
    <w:rsid w:val="00913DB2"/>
    <w:rsid w:val="00916F76"/>
    <w:rsid w:val="0092512C"/>
    <w:rsid w:val="00927CEF"/>
    <w:rsid w:val="00927F25"/>
    <w:rsid w:val="00930BB6"/>
    <w:rsid w:val="009351F3"/>
    <w:rsid w:val="0093715C"/>
    <w:rsid w:val="00945F86"/>
    <w:rsid w:val="009555B5"/>
    <w:rsid w:val="00961FEC"/>
    <w:rsid w:val="00972B3F"/>
    <w:rsid w:val="00972CD9"/>
    <w:rsid w:val="009771DC"/>
    <w:rsid w:val="00983ABE"/>
    <w:rsid w:val="00983FB8"/>
    <w:rsid w:val="009914BF"/>
    <w:rsid w:val="009A014C"/>
    <w:rsid w:val="009A4959"/>
    <w:rsid w:val="009A5E9B"/>
    <w:rsid w:val="009A7FA9"/>
    <w:rsid w:val="009B4039"/>
    <w:rsid w:val="009C5522"/>
    <w:rsid w:val="009C5FED"/>
    <w:rsid w:val="009D23BF"/>
    <w:rsid w:val="009D5F5F"/>
    <w:rsid w:val="00A0276E"/>
    <w:rsid w:val="00A10D2A"/>
    <w:rsid w:val="00A142E4"/>
    <w:rsid w:val="00A15BB4"/>
    <w:rsid w:val="00A34E3F"/>
    <w:rsid w:val="00A35968"/>
    <w:rsid w:val="00A42424"/>
    <w:rsid w:val="00A64F05"/>
    <w:rsid w:val="00A66D44"/>
    <w:rsid w:val="00A70AB6"/>
    <w:rsid w:val="00A75819"/>
    <w:rsid w:val="00A851A2"/>
    <w:rsid w:val="00A9040B"/>
    <w:rsid w:val="00AA7B51"/>
    <w:rsid w:val="00AA7EEE"/>
    <w:rsid w:val="00AB22CD"/>
    <w:rsid w:val="00AB4841"/>
    <w:rsid w:val="00AB5113"/>
    <w:rsid w:val="00AB5944"/>
    <w:rsid w:val="00AB68A1"/>
    <w:rsid w:val="00AB728C"/>
    <w:rsid w:val="00AC18BB"/>
    <w:rsid w:val="00AD6047"/>
    <w:rsid w:val="00AE12BF"/>
    <w:rsid w:val="00AF030B"/>
    <w:rsid w:val="00B1602E"/>
    <w:rsid w:val="00B2222A"/>
    <w:rsid w:val="00B2706D"/>
    <w:rsid w:val="00B3536B"/>
    <w:rsid w:val="00B3573A"/>
    <w:rsid w:val="00B41B91"/>
    <w:rsid w:val="00B41F16"/>
    <w:rsid w:val="00B46E4E"/>
    <w:rsid w:val="00B63D7A"/>
    <w:rsid w:val="00B67B85"/>
    <w:rsid w:val="00B7459E"/>
    <w:rsid w:val="00B80A79"/>
    <w:rsid w:val="00B858A9"/>
    <w:rsid w:val="00B85B6A"/>
    <w:rsid w:val="00B8708A"/>
    <w:rsid w:val="00BA14CC"/>
    <w:rsid w:val="00BA230A"/>
    <w:rsid w:val="00BA6105"/>
    <w:rsid w:val="00BD06F7"/>
    <w:rsid w:val="00BD1288"/>
    <w:rsid w:val="00BD403B"/>
    <w:rsid w:val="00BE0093"/>
    <w:rsid w:val="00BE1832"/>
    <w:rsid w:val="00BE22B4"/>
    <w:rsid w:val="00BF0B53"/>
    <w:rsid w:val="00BF7E67"/>
    <w:rsid w:val="00C0063B"/>
    <w:rsid w:val="00C02A5A"/>
    <w:rsid w:val="00C1791E"/>
    <w:rsid w:val="00C22A41"/>
    <w:rsid w:val="00C4203B"/>
    <w:rsid w:val="00C66714"/>
    <w:rsid w:val="00C84C27"/>
    <w:rsid w:val="00C93CF3"/>
    <w:rsid w:val="00C96B84"/>
    <w:rsid w:val="00CA70E3"/>
    <w:rsid w:val="00CB6358"/>
    <w:rsid w:val="00CC3B76"/>
    <w:rsid w:val="00CE5821"/>
    <w:rsid w:val="00CF155A"/>
    <w:rsid w:val="00D01E4C"/>
    <w:rsid w:val="00D06915"/>
    <w:rsid w:val="00D126F3"/>
    <w:rsid w:val="00D1387C"/>
    <w:rsid w:val="00D30F43"/>
    <w:rsid w:val="00D34B87"/>
    <w:rsid w:val="00D366FD"/>
    <w:rsid w:val="00D657AA"/>
    <w:rsid w:val="00D93570"/>
    <w:rsid w:val="00DA512E"/>
    <w:rsid w:val="00DB5597"/>
    <w:rsid w:val="00DB5825"/>
    <w:rsid w:val="00DC21F1"/>
    <w:rsid w:val="00DD063E"/>
    <w:rsid w:val="00DD2D13"/>
    <w:rsid w:val="00DE1657"/>
    <w:rsid w:val="00DE3EC1"/>
    <w:rsid w:val="00DF52F0"/>
    <w:rsid w:val="00E02946"/>
    <w:rsid w:val="00E0683C"/>
    <w:rsid w:val="00E1314C"/>
    <w:rsid w:val="00E13718"/>
    <w:rsid w:val="00E13F12"/>
    <w:rsid w:val="00E22554"/>
    <w:rsid w:val="00E23B2A"/>
    <w:rsid w:val="00E2584A"/>
    <w:rsid w:val="00E43EED"/>
    <w:rsid w:val="00E634E4"/>
    <w:rsid w:val="00E66187"/>
    <w:rsid w:val="00E66397"/>
    <w:rsid w:val="00E777E4"/>
    <w:rsid w:val="00E800DF"/>
    <w:rsid w:val="00E81162"/>
    <w:rsid w:val="00E85461"/>
    <w:rsid w:val="00EB3062"/>
    <w:rsid w:val="00EB3F17"/>
    <w:rsid w:val="00ED4325"/>
    <w:rsid w:val="00EE555D"/>
    <w:rsid w:val="00EE7FC8"/>
    <w:rsid w:val="00EE7FF6"/>
    <w:rsid w:val="00EF1740"/>
    <w:rsid w:val="00F157D8"/>
    <w:rsid w:val="00F15B30"/>
    <w:rsid w:val="00F27823"/>
    <w:rsid w:val="00F30A11"/>
    <w:rsid w:val="00F319D5"/>
    <w:rsid w:val="00F576A5"/>
    <w:rsid w:val="00F66BD4"/>
    <w:rsid w:val="00F7330A"/>
    <w:rsid w:val="00F807DC"/>
    <w:rsid w:val="00FA028B"/>
    <w:rsid w:val="00FA406D"/>
    <w:rsid w:val="00FA4A2C"/>
    <w:rsid w:val="00FE0882"/>
    <w:rsid w:val="00FF2664"/>
    <w:rsid w:val="00FF541D"/>
    <w:rsid w:val="00FF6BD6"/>
    <w:rsid w:val="00FF7AF0"/>
    <w:rsid w:val="01366309"/>
    <w:rsid w:val="01AE3AC2"/>
    <w:rsid w:val="02B06ADA"/>
    <w:rsid w:val="02BD72EE"/>
    <w:rsid w:val="03045209"/>
    <w:rsid w:val="04CB659F"/>
    <w:rsid w:val="04E92A41"/>
    <w:rsid w:val="05E85219"/>
    <w:rsid w:val="087C10E2"/>
    <w:rsid w:val="08B827D3"/>
    <w:rsid w:val="08F40C57"/>
    <w:rsid w:val="0CB80F31"/>
    <w:rsid w:val="0CCD711C"/>
    <w:rsid w:val="0E796661"/>
    <w:rsid w:val="123C148F"/>
    <w:rsid w:val="14C447F8"/>
    <w:rsid w:val="152D200A"/>
    <w:rsid w:val="1558339E"/>
    <w:rsid w:val="17A14E3A"/>
    <w:rsid w:val="195D7F7F"/>
    <w:rsid w:val="1AA1003E"/>
    <w:rsid w:val="1B932462"/>
    <w:rsid w:val="1C93375D"/>
    <w:rsid w:val="1E030FA5"/>
    <w:rsid w:val="1E2E56A8"/>
    <w:rsid w:val="1F1840BF"/>
    <w:rsid w:val="20F60C21"/>
    <w:rsid w:val="217E0CB9"/>
    <w:rsid w:val="21E63921"/>
    <w:rsid w:val="25166D8D"/>
    <w:rsid w:val="25A5248B"/>
    <w:rsid w:val="269B7AAF"/>
    <w:rsid w:val="27954078"/>
    <w:rsid w:val="28B634D6"/>
    <w:rsid w:val="2C3C0F9F"/>
    <w:rsid w:val="2F0E4FE6"/>
    <w:rsid w:val="2F1F1107"/>
    <w:rsid w:val="30425666"/>
    <w:rsid w:val="30A61B25"/>
    <w:rsid w:val="33A86390"/>
    <w:rsid w:val="357C36EF"/>
    <w:rsid w:val="389D76B7"/>
    <w:rsid w:val="3AB704E3"/>
    <w:rsid w:val="3B544A73"/>
    <w:rsid w:val="3BB90DDF"/>
    <w:rsid w:val="3F887E95"/>
    <w:rsid w:val="4267663F"/>
    <w:rsid w:val="42A23352"/>
    <w:rsid w:val="446B52F6"/>
    <w:rsid w:val="44DD61F7"/>
    <w:rsid w:val="462716DD"/>
    <w:rsid w:val="497E07DB"/>
    <w:rsid w:val="49F06F47"/>
    <w:rsid w:val="4AB77DC4"/>
    <w:rsid w:val="4BAF2C24"/>
    <w:rsid w:val="4D331E5C"/>
    <w:rsid w:val="4EAC1FAA"/>
    <w:rsid w:val="513B322A"/>
    <w:rsid w:val="54653B18"/>
    <w:rsid w:val="54975ADC"/>
    <w:rsid w:val="55296BA9"/>
    <w:rsid w:val="55D711E1"/>
    <w:rsid w:val="56191F73"/>
    <w:rsid w:val="57C5242C"/>
    <w:rsid w:val="57DB28FB"/>
    <w:rsid w:val="58B256D1"/>
    <w:rsid w:val="58CE4656"/>
    <w:rsid w:val="58F74D11"/>
    <w:rsid w:val="5BE551A9"/>
    <w:rsid w:val="5BE7599E"/>
    <w:rsid w:val="5C953A19"/>
    <w:rsid w:val="5CD72FAB"/>
    <w:rsid w:val="5E801A5D"/>
    <w:rsid w:val="613D2F35"/>
    <w:rsid w:val="65342F32"/>
    <w:rsid w:val="687058A4"/>
    <w:rsid w:val="6B5E2426"/>
    <w:rsid w:val="6FFC6EBC"/>
    <w:rsid w:val="7677AF1B"/>
    <w:rsid w:val="77422BFC"/>
    <w:rsid w:val="77901BB9"/>
    <w:rsid w:val="77D208E0"/>
    <w:rsid w:val="784F4176"/>
    <w:rsid w:val="79EFA580"/>
    <w:rsid w:val="7A794066"/>
    <w:rsid w:val="7AEB0C40"/>
    <w:rsid w:val="7C8D3C24"/>
    <w:rsid w:val="7E070239"/>
    <w:rsid w:val="7F7FF759"/>
    <w:rsid w:val="7FB60B8D"/>
    <w:rsid w:val="7FEF5450"/>
    <w:rsid w:val="D4179C7F"/>
    <w:rsid w:val="D777D93B"/>
    <w:rsid w:val="F4CDBE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8"/>
    <w:autoRedefine/>
    <w:semiHidden/>
    <w:unhideWhenUsed/>
    <w:qFormat/>
    <w:uiPriority w:val="99"/>
    <w:rPr>
      <w:sz w:val="18"/>
      <w:szCs w:val="18"/>
    </w:rPr>
  </w:style>
  <w:style w:type="paragraph" w:styleId="4">
    <w:name w:val="footer"/>
    <w:basedOn w:val="1"/>
    <w:link w:val="17"/>
    <w:autoRedefine/>
    <w:unhideWhenUsed/>
    <w:qFormat/>
    <w:uiPriority w:val="99"/>
    <w:pPr>
      <w:tabs>
        <w:tab w:val="center" w:pos="4153"/>
        <w:tab w:val="right" w:pos="8306"/>
      </w:tabs>
      <w:snapToGrid w:val="0"/>
      <w:jc w:val="left"/>
    </w:pPr>
    <w:rPr>
      <w:sz w:val="18"/>
      <w:szCs w:val="18"/>
    </w:rPr>
  </w:style>
  <w:style w:type="paragraph" w:styleId="5">
    <w:name w:val="header"/>
    <w:basedOn w:val="1"/>
    <w:link w:val="1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bCs/>
    </w:rPr>
  </w:style>
  <w:style w:type="character" w:styleId="11">
    <w:name w:val="Emphasis"/>
    <w:basedOn w:val="9"/>
    <w:qFormat/>
    <w:uiPriority w:val="20"/>
    <w:rPr>
      <w:i/>
      <w:iCs/>
    </w:rPr>
  </w:style>
  <w:style w:type="character" w:styleId="12">
    <w:name w:val="Hyperlink"/>
    <w:basedOn w:val="9"/>
    <w:semiHidden/>
    <w:unhideWhenUsed/>
    <w:qFormat/>
    <w:uiPriority w:val="99"/>
    <w:rPr>
      <w:color w:val="0000FF"/>
      <w:u w:val="single"/>
    </w:rPr>
  </w:style>
  <w:style w:type="character" w:customStyle="1" w:styleId="13">
    <w:name w:val="标题 2 Char"/>
    <w:basedOn w:val="9"/>
    <w:link w:val="2"/>
    <w:autoRedefine/>
    <w:qFormat/>
    <w:uiPriority w:val="9"/>
    <w:rPr>
      <w:rFonts w:ascii="宋体" w:hAnsi="宋体" w:eastAsia="宋体" w:cs="宋体"/>
      <w:b/>
      <w:bCs/>
      <w:kern w:val="0"/>
      <w:sz w:val="36"/>
      <w:szCs w:val="36"/>
    </w:rPr>
  </w:style>
  <w:style w:type="character" w:customStyle="1" w:styleId="14">
    <w:name w:val="rich_media_meta"/>
    <w:basedOn w:val="9"/>
    <w:qFormat/>
    <w:uiPriority w:val="0"/>
  </w:style>
  <w:style w:type="character" w:customStyle="1" w:styleId="15">
    <w:name w:val="apple-converted-space"/>
    <w:basedOn w:val="9"/>
    <w:qFormat/>
    <w:uiPriority w:val="0"/>
  </w:style>
  <w:style w:type="character" w:customStyle="1" w:styleId="16">
    <w:name w:val="页眉 Char"/>
    <w:basedOn w:val="9"/>
    <w:link w:val="5"/>
    <w:autoRedefine/>
    <w:qFormat/>
    <w:uiPriority w:val="99"/>
    <w:rPr>
      <w:kern w:val="2"/>
      <w:sz w:val="18"/>
      <w:szCs w:val="18"/>
    </w:rPr>
  </w:style>
  <w:style w:type="character" w:customStyle="1" w:styleId="17">
    <w:name w:val="页脚 Char"/>
    <w:basedOn w:val="9"/>
    <w:link w:val="4"/>
    <w:autoRedefine/>
    <w:qFormat/>
    <w:uiPriority w:val="99"/>
    <w:rPr>
      <w:kern w:val="2"/>
      <w:sz w:val="18"/>
      <w:szCs w:val="18"/>
    </w:rPr>
  </w:style>
  <w:style w:type="character" w:customStyle="1" w:styleId="18">
    <w:name w:val="批注框文本 Char"/>
    <w:basedOn w:val="9"/>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1A27DA-1F0C-4A82-8BF7-FE85249253F6}">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721</Words>
  <Characters>738</Characters>
  <Lines>50</Lines>
  <Paragraphs>14</Paragraphs>
  <TotalTime>2</TotalTime>
  <ScaleCrop>false</ScaleCrop>
  <LinksUpToDate>false</LinksUpToDate>
  <CharactersWithSpaces>746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2024-03-15T01:38:00Z</dcterms:created>
  <dc:creator>微软用户</dc:creator>
  <cp:lastModifiedBy>Kasaski</cp:lastModifiedBy>
  <cp:lastPrinted>2025-06-03T01:23:00Z</cp:lastPrinted>
  <dcterms:modified xsi:type="dcterms:W3CDTF">2025-06-09T06:46:39Z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64E80BD3BC8E447E83B66FBE45490F29_13</vt:lpwstr>
  </property>
  <property fmtid="{D5CDD505-2E9C-101B-9397-08002B2CF9AE}" pid="4" name="KSOTemplateDocerSaveRecord">
    <vt:lpwstr>eyJoZGlkIjoiYTI5ZmY2MTcyZGE4ZDQzMjEwMTVlZTgwMjQ2MDNmOTkiLCJ1c2VySWQiOiIxMTU3MzA4NTI1In0=</vt:lpwstr>
  </property>
</Properties>
</file>