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4B88" w:rsidRPr="00ED4B88" w:rsidRDefault="00ED4B88" w:rsidP="00ED4B88">
      <w:pPr>
        <w:pStyle w:val="2"/>
        <w:jc w:val="center"/>
        <w:rPr>
          <w:rFonts w:eastAsia="微软雅黑"/>
          <w:b/>
          <w:bCs/>
          <w:color w:val="015293"/>
          <w:sz w:val="24"/>
          <w:szCs w:val="24"/>
        </w:rPr>
      </w:pPr>
      <w:r w:rsidRPr="00ED4B88">
        <w:rPr>
          <w:rFonts w:eastAsia="微软雅黑"/>
          <w:b/>
          <w:bCs/>
          <w:color w:val="015293"/>
          <w:sz w:val="24"/>
          <w:szCs w:val="24"/>
        </w:rPr>
        <w:t>关于开展</w:t>
      </w:r>
      <w:r w:rsidRPr="00ED4B88">
        <w:rPr>
          <w:rFonts w:eastAsia="微软雅黑"/>
          <w:b/>
          <w:bCs/>
          <w:color w:val="015293"/>
          <w:sz w:val="24"/>
          <w:szCs w:val="24"/>
        </w:rPr>
        <w:t>2023</w:t>
      </w:r>
      <w:r w:rsidRPr="00ED4B88">
        <w:rPr>
          <w:rFonts w:eastAsia="微软雅黑"/>
          <w:b/>
          <w:bCs/>
          <w:color w:val="015293"/>
          <w:sz w:val="24"/>
          <w:szCs w:val="24"/>
        </w:rPr>
        <w:t>年度上海市经济和信息化委员会工程系列（直属）中级职称评审工作的通知</w:t>
      </w:r>
      <w:r w:rsidRPr="00ED4B88">
        <w:rPr>
          <w:rFonts w:eastAsia="微软雅黑"/>
          <w:b/>
          <w:bCs/>
          <w:color w:val="015293"/>
          <w:sz w:val="24"/>
          <w:szCs w:val="24"/>
        </w:rPr>
        <w:t xml:space="preserve"> </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为推动上海人才引进和培育，打造多层次人才队伍，进一步做好上海市经济和信息化委员会工程系列（直属）中级职称评审工作，根据人力资源和社会保障部、工业信息化部《关于深化工程技术人才职称制度改革的指导意见》（人社部发〔2019〕16号），市人力资源和社会保障局《关于在本市工程技术领域实现高技能人才与工程技术人才职业发展贯通的试行方案》（沪人社规【2019】32号）及《上海市职称评审管理办法》（沪人社规〔2021〕30号）等文件精神，现将2023年度工程系列直属中级职称评审有关申报工作事项通知如下：</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一、评审机构</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上海市经济和信息化委员会工程系列（直属）中级职称评审委员会，由上海市经济和信息化委员会组建。</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二、评审学科组及专业</w:t>
      </w:r>
    </w:p>
    <w:tbl>
      <w:tblPr>
        <w:tblW w:w="9000" w:type="dxa"/>
        <w:jc w:val="center"/>
        <w:tblCellMar>
          <w:left w:w="0" w:type="dxa"/>
          <w:right w:w="0" w:type="dxa"/>
        </w:tblCellMar>
        <w:tblLook w:val="04A0" w:firstRow="1" w:lastRow="0" w:firstColumn="1" w:lastColumn="0" w:noHBand="0" w:noVBand="1"/>
      </w:tblPr>
      <w:tblGrid>
        <w:gridCol w:w="878"/>
        <w:gridCol w:w="2376"/>
        <w:gridCol w:w="2223"/>
        <w:gridCol w:w="3523"/>
      </w:tblGrid>
      <w:tr w:rsidR="00ED4B88" w:rsidRPr="00ED4B88" w:rsidTr="00ED4B88">
        <w:trPr>
          <w:trHeight w:val="642"/>
          <w:jc w:val="center"/>
        </w:trPr>
        <w:tc>
          <w:tcPr>
            <w:tcW w:w="488"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b/>
                <w:bCs/>
                <w:color w:val="000000"/>
                <w:sz w:val="24"/>
                <w:szCs w:val="24"/>
              </w:rPr>
              <w:t>序号</w:t>
            </w:r>
          </w:p>
        </w:tc>
        <w:tc>
          <w:tcPr>
            <w:tcW w:w="1320" w:type="pct"/>
            <w:tcBorders>
              <w:top w:val="single" w:sz="8" w:space="0" w:color="333333"/>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b/>
                <w:bCs/>
                <w:color w:val="000000"/>
                <w:sz w:val="24"/>
                <w:szCs w:val="24"/>
              </w:rPr>
              <w:t>专业学科组</w:t>
            </w:r>
          </w:p>
        </w:tc>
        <w:tc>
          <w:tcPr>
            <w:tcW w:w="1235" w:type="pct"/>
            <w:tcBorders>
              <w:top w:val="single" w:sz="8" w:space="0" w:color="333333"/>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b/>
                <w:bCs/>
                <w:color w:val="333333"/>
                <w:sz w:val="24"/>
                <w:szCs w:val="24"/>
              </w:rPr>
              <w:t>评审专业</w:t>
            </w:r>
          </w:p>
        </w:tc>
        <w:tc>
          <w:tcPr>
            <w:tcW w:w="1957" w:type="pct"/>
            <w:tcBorders>
              <w:top w:val="single" w:sz="8" w:space="0" w:color="333333"/>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b/>
                <w:bCs/>
                <w:color w:val="000000"/>
                <w:sz w:val="24"/>
                <w:szCs w:val="24"/>
              </w:rPr>
              <w:t>申报专业范围</w:t>
            </w:r>
          </w:p>
        </w:tc>
      </w:tr>
      <w:tr w:rsidR="00ED4B88" w:rsidRPr="00ED4B88" w:rsidTr="00ED4B88">
        <w:trPr>
          <w:trHeight w:val="1823"/>
          <w:jc w:val="center"/>
        </w:trPr>
        <w:tc>
          <w:tcPr>
            <w:tcW w:w="488" w:type="pct"/>
            <w:tcBorders>
              <w:top w:val="nil"/>
              <w:left w:val="single" w:sz="8" w:space="0" w:color="333333"/>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1</w:t>
            </w:r>
          </w:p>
        </w:tc>
        <w:tc>
          <w:tcPr>
            <w:tcW w:w="1320"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仪器仪表及自动化</w:t>
            </w:r>
          </w:p>
        </w:tc>
        <w:tc>
          <w:tcPr>
            <w:tcW w:w="1235"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仪器仪表及自动化</w:t>
            </w:r>
          </w:p>
        </w:tc>
        <w:tc>
          <w:tcPr>
            <w:tcW w:w="1957"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left"/>
              <w:rPr>
                <w:rFonts w:ascii="微软雅黑" w:eastAsia="微软雅黑" w:hAnsi="微软雅黑" w:hint="eastAsia"/>
                <w:color w:val="333333"/>
                <w:sz w:val="24"/>
                <w:szCs w:val="24"/>
              </w:rPr>
            </w:pPr>
            <w:r w:rsidRPr="00ED4B88">
              <w:rPr>
                <w:rFonts w:hint="eastAsia"/>
                <w:color w:val="000000"/>
                <w:sz w:val="24"/>
                <w:szCs w:val="24"/>
              </w:rPr>
              <w:t>从事自控系统的智能仪表、控制系统、电气自动化、各类检测及分析仪器的设计等专业。</w:t>
            </w:r>
          </w:p>
        </w:tc>
      </w:tr>
      <w:tr w:rsidR="00ED4B88" w:rsidRPr="00ED4B88" w:rsidTr="00ED4B88">
        <w:trPr>
          <w:trHeight w:val="1976"/>
          <w:jc w:val="center"/>
        </w:trPr>
        <w:tc>
          <w:tcPr>
            <w:tcW w:w="488" w:type="pct"/>
            <w:tcBorders>
              <w:top w:val="nil"/>
              <w:left w:val="single" w:sz="8" w:space="0" w:color="333333"/>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lastRenderedPageBreak/>
              <w:t>2</w:t>
            </w:r>
          </w:p>
        </w:tc>
        <w:tc>
          <w:tcPr>
            <w:tcW w:w="1320"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电机电器及电缆</w:t>
            </w:r>
          </w:p>
        </w:tc>
        <w:tc>
          <w:tcPr>
            <w:tcW w:w="1235"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电机电器及电缆</w:t>
            </w:r>
          </w:p>
        </w:tc>
        <w:tc>
          <w:tcPr>
            <w:tcW w:w="1957"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left"/>
              <w:rPr>
                <w:rFonts w:ascii="微软雅黑" w:eastAsia="微软雅黑" w:hAnsi="微软雅黑" w:hint="eastAsia"/>
                <w:color w:val="333333"/>
                <w:sz w:val="24"/>
                <w:szCs w:val="24"/>
              </w:rPr>
            </w:pPr>
            <w:r w:rsidRPr="00ED4B88">
              <w:rPr>
                <w:rFonts w:hint="eastAsia"/>
                <w:color w:val="000000"/>
                <w:sz w:val="24"/>
                <w:szCs w:val="24"/>
              </w:rPr>
              <w:t>从事电机、电器、电缆、电动工具等的设计开发等专业。</w:t>
            </w:r>
          </w:p>
        </w:tc>
      </w:tr>
      <w:tr w:rsidR="00ED4B88" w:rsidRPr="00ED4B88" w:rsidTr="00ED4B88">
        <w:trPr>
          <w:trHeight w:val="1264"/>
          <w:jc w:val="center"/>
        </w:trPr>
        <w:tc>
          <w:tcPr>
            <w:tcW w:w="488" w:type="pct"/>
            <w:tcBorders>
              <w:top w:val="nil"/>
              <w:left w:val="single" w:sz="8" w:space="0" w:color="333333"/>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3</w:t>
            </w:r>
          </w:p>
        </w:tc>
        <w:tc>
          <w:tcPr>
            <w:tcW w:w="1320"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输配电工程</w:t>
            </w:r>
          </w:p>
        </w:tc>
        <w:tc>
          <w:tcPr>
            <w:tcW w:w="1235"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输配电工程</w:t>
            </w:r>
          </w:p>
        </w:tc>
        <w:tc>
          <w:tcPr>
            <w:tcW w:w="1957"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left"/>
              <w:rPr>
                <w:rFonts w:ascii="微软雅黑" w:eastAsia="微软雅黑" w:hAnsi="微软雅黑" w:hint="eastAsia"/>
                <w:color w:val="333333"/>
                <w:sz w:val="24"/>
                <w:szCs w:val="24"/>
              </w:rPr>
            </w:pPr>
            <w:r w:rsidRPr="00ED4B88">
              <w:rPr>
                <w:rFonts w:hint="eastAsia"/>
                <w:color w:val="000000"/>
                <w:sz w:val="24"/>
                <w:szCs w:val="24"/>
              </w:rPr>
              <w:t>从事输配电工程的安装、调试、检测及维护等专业。</w:t>
            </w:r>
          </w:p>
        </w:tc>
      </w:tr>
      <w:tr w:rsidR="00ED4B88" w:rsidRPr="00ED4B88" w:rsidTr="00ED4B88">
        <w:trPr>
          <w:trHeight w:val="1381"/>
          <w:jc w:val="center"/>
        </w:trPr>
        <w:tc>
          <w:tcPr>
            <w:tcW w:w="488" w:type="pct"/>
            <w:vMerge w:val="restart"/>
            <w:tcBorders>
              <w:top w:val="nil"/>
              <w:left w:val="single" w:sz="8" w:space="0" w:color="333333"/>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4</w:t>
            </w:r>
          </w:p>
        </w:tc>
        <w:tc>
          <w:tcPr>
            <w:tcW w:w="1320" w:type="pct"/>
            <w:vMerge w:val="restar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综合技术</w:t>
            </w:r>
          </w:p>
        </w:tc>
        <w:tc>
          <w:tcPr>
            <w:tcW w:w="1235"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节能环保</w:t>
            </w:r>
          </w:p>
        </w:tc>
        <w:tc>
          <w:tcPr>
            <w:tcW w:w="1957"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left"/>
              <w:rPr>
                <w:rFonts w:ascii="微软雅黑" w:eastAsia="微软雅黑" w:hAnsi="微软雅黑" w:hint="eastAsia"/>
                <w:color w:val="333333"/>
                <w:sz w:val="24"/>
                <w:szCs w:val="24"/>
              </w:rPr>
            </w:pPr>
            <w:r w:rsidRPr="00ED4B88">
              <w:rPr>
                <w:rFonts w:hint="eastAsia"/>
                <w:color w:val="000000"/>
                <w:sz w:val="24"/>
                <w:szCs w:val="24"/>
              </w:rPr>
              <w:t>从事环境保护工程的设计、检测、分析及技术服务等专业。</w:t>
            </w:r>
          </w:p>
        </w:tc>
      </w:tr>
      <w:tr w:rsidR="00ED4B88" w:rsidRPr="00ED4B88" w:rsidTr="00ED4B88">
        <w:trPr>
          <w:trHeight w:val="1846"/>
          <w:jc w:val="center"/>
        </w:trPr>
        <w:tc>
          <w:tcPr>
            <w:tcW w:w="0" w:type="auto"/>
            <w:vMerge/>
            <w:tcBorders>
              <w:top w:val="nil"/>
              <w:left w:val="single" w:sz="8" w:space="0" w:color="333333"/>
              <w:bottom w:val="single" w:sz="8" w:space="0" w:color="333333"/>
              <w:right w:val="single" w:sz="8" w:space="0" w:color="333333"/>
            </w:tcBorders>
            <w:shd w:val="clear" w:color="auto" w:fill="auto"/>
            <w:vAlign w:val="center"/>
            <w:hideMark/>
          </w:tcPr>
          <w:p w:rsidR="00ED4B88" w:rsidRPr="00ED4B88" w:rsidRDefault="00ED4B88">
            <w:pPr>
              <w:rPr>
                <w:rFonts w:ascii="微软雅黑" w:eastAsia="微软雅黑" w:hAnsi="微软雅黑" w:cs="宋体"/>
                <w:color w:val="333333"/>
                <w:sz w:val="24"/>
                <w:szCs w:val="24"/>
              </w:rPr>
            </w:pPr>
          </w:p>
        </w:tc>
        <w:tc>
          <w:tcPr>
            <w:tcW w:w="0" w:type="auto"/>
            <w:vMerge/>
            <w:tcBorders>
              <w:top w:val="nil"/>
              <w:left w:val="nil"/>
              <w:bottom w:val="single" w:sz="8" w:space="0" w:color="333333"/>
              <w:right w:val="single" w:sz="8" w:space="0" w:color="333333"/>
            </w:tcBorders>
            <w:shd w:val="clear" w:color="auto" w:fill="auto"/>
            <w:vAlign w:val="center"/>
            <w:hideMark/>
          </w:tcPr>
          <w:p w:rsidR="00ED4B88" w:rsidRPr="00ED4B88" w:rsidRDefault="00ED4B88">
            <w:pPr>
              <w:rPr>
                <w:rFonts w:ascii="微软雅黑" w:eastAsia="微软雅黑" w:hAnsi="微软雅黑" w:cs="宋体"/>
                <w:color w:val="333333"/>
                <w:sz w:val="24"/>
                <w:szCs w:val="24"/>
              </w:rPr>
            </w:pPr>
          </w:p>
        </w:tc>
        <w:tc>
          <w:tcPr>
            <w:tcW w:w="1235"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质量管理</w:t>
            </w:r>
          </w:p>
        </w:tc>
        <w:tc>
          <w:tcPr>
            <w:tcW w:w="1957"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left"/>
              <w:rPr>
                <w:rFonts w:ascii="微软雅黑" w:eastAsia="微软雅黑" w:hAnsi="微软雅黑" w:hint="eastAsia"/>
                <w:color w:val="333333"/>
                <w:sz w:val="24"/>
                <w:szCs w:val="24"/>
              </w:rPr>
            </w:pPr>
            <w:r w:rsidRPr="00ED4B88">
              <w:rPr>
                <w:rFonts w:hint="eastAsia"/>
                <w:color w:val="000000"/>
                <w:sz w:val="24"/>
                <w:szCs w:val="24"/>
              </w:rPr>
              <w:t>从事</w:t>
            </w:r>
            <w:r w:rsidRPr="00ED4B88">
              <w:rPr>
                <w:rFonts w:hint="eastAsia"/>
                <w:color w:val="333333"/>
                <w:sz w:val="24"/>
                <w:szCs w:val="24"/>
              </w:rPr>
              <w:t>质量的检验、认证、管理、检定、标准化等</w:t>
            </w:r>
            <w:r w:rsidRPr="00ED4B88">
              <w:rPr>
                <w:rFonts w:hint="eastAsia"/>
                <w:color w:val="000000"/>
                <w:sz w:val="24"/>
                <w:szCs w:val="24"/>
              </w:rPr>
              <w:t>专业。</w:t>
            </w:r>
          </w:p>
        </w:tc>
      </w:tr>
      <w:tr w:rsidR="00ED4B88" w:rsidRPr="00ED4B88" w:rsidTr="00ED4B88">
        <w:trPr>
          <w:trHeight w:val="1394"/>
          <w:jc w:val="center"/>
        </w:trPr>
        <w:tc>
          <w:tcPr>
            <w:tcW w:w="0" w:type="auto"/>
            <w:vMerge/>
            <w:tcBorders>
              <w:top w:val="nil"/>
              <w:left w:val="single" w:sz="8" w:space="0" w:color="333333"/>
              <w:bottom w:val="single" w:sz="8" w:space="0" w:color="333333"/>
              <w:right w:val="single" w:sz="8" w:space="0" w:color="333333"/>
            </w:tcBorders>
            <w:shd w:val="clear" w:color="auto" w:fill="auto"/>
            <w:vAlign w:val="center"/>
            <w:hideMark/>
          </w:tcPr>
          <w:p w:rsidR="00ED4B88" w:rsidRPr="00ED4B88" w:rsidRDefault="00ED4B88">
            <w:pPr>
              <w:rPr>
                <w:rFonts w:ascii="微软雅黑" w:eastAsia="微软雅黑" w:hAnsi="微软雅黑" w:cs="宋体"/>
                <w:color w:val="333333"/>
                <w:sz w:val="24"/>
                <w:szCs w:val="24"/>
              </w:rPr>
            </w:pPr>
          </w:p>
        </w:tc>
        <w:tc>
          <w:tcPr>
            <w:tcW w:w="0" w:type="auto"/>
            <w:vMerge/>
            <w:tcBorders>
              <w:top w:val="nil"/>
              <w:left w:val="nil"/>
              <w:bottom w:val="single" w:sz="8" w:space="0" w:color="333333"/>
              <w:right w:val="single" w:sz="8" w:space="0" w:color="333333"/>
            </w:tcBorders>
            <w:shd w:val="clear" w:color="auto" w:fill="auto"/>
            <w:vAlign w:val="center"/>
            <w:hideMark/>
          </w:tcPr>
          <w:p w:rsidR="00ED4B88" w:rsidRPr="00ED4B88" w:rsidRDefault="00ED4B88">
            <w:pPr>
              <w:rPr>
                <w:rFonts w:ascii="微软雅黑" w:eastAsia="微软雅黑" w:hAnsi="微软雅黑" w:cs="宋体"/>
                <w:color w:val="333333"/>
                <w:sz w:val="24"/>
                <w:szCs w:val="24"/>
              </w:rPr>
            </w:pPr>
          </w:p>
        </w:tc>
        <w:tc>
          <w:tcPr>
            <w:tcW w:w="1235"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办公信息化</w:t>
            </w:r>
          </w:p>
        </w:tc>
        <w:tc>
          <w:tcPr>
            <w:tcW w:w="1957"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left"/>
              <w:rPr>
                <w:rFonts w:ascii="微软雅黑" w:eastAsia="微软雅黑" w:hAnsi="微软雅黑" w:hint="eastAsia"/>
                <w:color w:val="333333"/>
                <w:sz w:val="24"/>
                <w:szCs w:val="24"/>
              </w:rPr>
            </w:pPr>
            <w:r w:rsidRPr="00ED4B88">
              <w:rPr>
                <w:rFonts w:hint="eastAsia"/>
                <w:color w:val="000000"/>
                <w:sz w:val="24"/>
                <w:szCs w:val="24"/>
              </w:rPr>
              <w:t>从事办公自动化，信息化网络的设计、应用及维护等专业。</w:t>
            </w:r>
          </w:p>
        </w:tc>
      </w:tr>
      <w:tr w:rsidR="00ED4B88" w:rsidRPr="00ED4B88" w:rsidTr="00ED4B88">
        <w:trPr>
          <w:trHeight w:val="1440"/>
          <w:jc w:val="center"/>
        </w:trPr>
        <w:tc>
          <w:tcPr>
            <w:tcW w:w="0" w:type="auto"/>
            <w:vMerge/>
            <w:tcBorders>
              <w:top w:val="nil"/>
              <w:left w:val="single" w:sz="8" w:space="0" w:color="333333"/>
              <w:bottom w:val="single" w:sz="8" w:space="0" w:color="333333"/>
              <w:right w:val="single" w:sz="8" w:space="0" w:color="333333"/>
            </w:tcBorders>
            <w:shd w:val="clear" w:color="auto" w:fill="auto"/>
            <w:vAlign w:val="center"/>
            <w:hideMark/>
          </w:tcPr>
          <w:p w:rsidR="00ED4B88" w:rsidRPr="00ED4B88" w:rsidRDefault="00ED4B88">
            <w:pPr>
              <w:rPr>
                <w:rFonts w:ascii="微软雅黑" w:eastAsia="微软雅黑" w:hAnsi="微软雅黑" w:cs="宋体"/>
                <w:color w:val="333333"/>
                <w:sz w:val="24"/>
                <w:szCs w:val="24"/>
              </w:rPr>
            </w:pPr>
          </w:p>
        </w:tc>
        <w:tc>
          <w:tcPr>
            <w:tcW w:w="0" w:type="auto"/>
            <w:vMerge/>
            <w:tcBorders>
              <w:top w:val="nil"/>
              <w:left w:val="nil"/>
              <w:bottom w:val="single" w:sz="8" w:space="0" w:color="333333"/>
              <w:right w:val="single" w:sz="8" w:space="0" w:color="333333"/>
            </w:tcBorders>
            <w:shd w:val="clear" w:color="auto" w:fill="auto"/>
            <w:vAlign w:val="center"/>
            <w:hideMark/>
          </w:tcPr>
          <w:p w:rsidR="00ED4B88" w:rsidRPr="00ED4B88" w:rsidRDefault="00ED4B88">
            <w:pPr>
              <w:rPr>
                <w:rFonts w:ascii="微软雅黑" w:eastAsia="微软雅黑" w:hAnsi="微软雅黑" w:cs="宋体"/>
                <w:color w:val="333333"/>
                <w:sz w:val="24"/>
                <w:szCs w:val="24"/>
              </w:rPr>
            </w:pPr>
          </w:p>
        </w:tc>
        <w:tc>
          <w:tcPr>
            <w:tcW w:w="1235"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项目咨询</w:t>
            </w:r>
          </w:p>
        </w:tc>
        <w:tc>
          <w:tcPr>
            <w:tcW w:w="1957"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left"/>
              <w:rPr>
                <w:rFonts w:ascii="微软雅黑" w:eastAsia="微软雅黑" w:hAnsi="微软雅黑" w:hint="eastAsia"/>
                <w:color w:val="333333"/>
                <w:sz w:val="24"/>
                <w:szCs w:val="24"/>
              </w:rPr>
            </w:pPr>
            <w:r w:rsidRPr="00ED4B88">
              <w:rPr>
                <w:rFonts w:hint="eastAsia"/>
                <w:color w:val="000000"/>
                <w:sz w:val="24"/>
                <w:szCs w:val="24"/>
              </w:rPr>
              <w:t>从事工程项目咨询、技术可行性分析等专业。</w:t>
            </w:r>
          </w:p>
        </w:tc>
      </w:tr>
      <w:tr w:rsidR="00ED4B88" w:rsidRPr="00ED4B88" w:rsidTr="00ED4B88">
        <w:trPr>
          <w:trHeight w:val="1647"/>
          <w:jc w:val="center"/>
        </w:trPr>
        <w:tc>
          <w:tcPr>
            <w:tcW w:w="0" w:type="auto"/>
            <w:vMerge/>
            <w:tcBorders>
              <w:top w:val="nil"/>
              <w:left w:val="single" w:sz="8" w:space="0" w:color="333333"/>
              <w:bottom w:val="single" w:sz="8" w:space="0" w:color="333333"/>
              <w:right w:val="single" w:sz="8" w:space="0" w:color="333333"/>
            </w:tcBorders>
            <w:shd w:val="clear" w:color="auto" w:fill="auto"/>
            <w:vAlign w:val="center"/>
            <w:hideMark/>
          </w:tcPr>
          <w:p w:rsidR="00ED4B88" w:rsidRPr="00ED4B88" w:rsidRDefault="00ED4B88">
            <w:pPr>
              <w:rPr>
                <w:rFonts w:ascii="微软雅黑" w:eastAsia="微软雅黑" w:hAnsi="微软雅黑" w:cs="宋体"/>
                <w:color w:val="333333"/>
                <w:sz w:val="24"/>
                <w:szCs w:val="24"/>
              </w:rPr>
            </w:pPr>
          </w:p>
        </w:tc>
        <w:tc>
          <w:tcPr>
            <w:tcW w:w="0" w:type="auto"/>
            <w:vMerge/>
            <w:tcBorders>
              <w:top w:val="nil"/>
              <w:left w:val="nil"/>
              <w:bottom w:val="single" w:sz="8" w:space="0" w:color="333333"/>
              <w:right w:val="single" w:sz="8" w:space="0" w:color="333333"/>
            </w:tcBorders>
            <w:shd w:val="clear" w:color="auto" w:fill="auto"/>
            <w:vAlign w:val="center"/>
            <w:hideMark/>
          </w:tcPr>
          <w:p w:rsidR="00ED4B88" w:rsidRPr="00ED4B88" w:rsidRDefault="00ED4B88">
            <w:pPr>
              <w:rPr>
                <w:rFonts w:ascii="微软雅黑" w:eastAsia="微软雅黑" w:hAnsi="微软雅黑" w:cs="宋体"/>
                <w:color w:val="333333"/>
                <w:sz w:val="24"/>
                <w:szCs w:val="24"/>
              </w:rPr>
            </w:pPr>
          </w:p>
        </w:tc>
        <w:tc>
          <w:tcPr>
            <w:tcW w:w="1235"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center"/>
              <w:rPr>
                <w:rFonts w:ascii="微软雅黑" w:eastAsia="微软雅黑" w:hAnsi="微软雅黑" w:hint="eastAsia"/>
                <w:color w:val="333333"/>
                <w:sz w:val="24"/>
                <w:szCs w:val="24"/>
              </w:rPr>
            </w:pPr>
            <w:r w:rsidRPr="00ED4B88">
              <w:rPr>
                <w:rFonts w:hint="eastAsia"/>
                <w:color w:val="000000"/>
                <w:sz w:val="24"/>
                <w:szCs w:val="24"/>
              </w:rPr>
              <w:t>企业科技管理</w:t>
            </w:r>
          </w:p>
        </w:tc>
        <w:tc>
          <w:tcPr>
            <w:tcW w:w="1957" w:type="pct"/>
            <w:tcBorders>
              <w:top w:val="nil"/>
              <w:left w:val="nil"/>
              <w:bottom w:val="single" w:sz="8" w:space="0" w:color="333333"/>
              <w:right w:val="single" w:sz="8" w:space="0" w:color="333333"/>
            </w:tcBorders>
            <w:shd w:val="clear" w:color="auto" w:fill="auto"/>
            <w:tcMar>
              <w:top w:w="0" w:type="dxa"/>
              <w:left w:w="108" w:type="dxa"/>
              <w:bottom w:w="0" w:type="dxa"/>
              <w:right w:w="108" w:type="dxa"/>
            </w:tcMar>
            <w:vAlign w:val="center"/>
            <w:hideMark/>
          </w:tcPr>
          <w:p w:rsidR="00ED4B88" w:rsidRPr="00ED4B88" w:rsidRDefault="00ED4B88">
            <w:pPr>
              <w:spacing w:after="375" w:line="480" w:lineRule="auto"/>
              <w:jc w:val="left"/>
              <w:rPr>
                <w:rFonts w:ascii="微软雅黑" w:eastAsia="微软雅黑" w:hAnsi="微软雅黑" w:hint="eastAsia"/>
                <w:color w:val="333333"/>
                <w:sz w:val="24"/>
                <w:szCs w:val="24"/>
              </w:rPr>
            </w:pPr>
            <w:r w:rsidRPr="00ED4B88">
              <w:rPr>
                <w:rFonts w:hint="eastAsia"/>
                <w:color w:val="000000"/>
                <w:sz w:val="24"/>
                <w:szCs w:val="24"/>
              </w:rPr>
              <w:t>从事企业科技信息、技术情报、标准化管理、工程项目开发管理等专业。</w:t>
            </w:r>
          </w:p>
        </w:tc>
      </w:tr>
    </w:tbl>
    <w:p w:rsidR="00ED4B88" w:rsidRPr="00ED4B88" w:rsidRDefault="00ED4B88" w:rsidP="00ED4B88">
      <w:pPr>
        <w:spacing w:after="375" w:line="480" w:lineRule="auto"/>
        <w:jc w:val="center"/>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w:t>
      </w:r>
    </w:p>
    <w:p w:rsidR="00ED4B88" w:rsidRPr="00ED4B88" w:rsidRDefault="00ED4B88" w:rsidP="00ED4B88">
      <w:pPr>
        <w:spacing w:after="375" w:line="480" w:lineRule="auto"/>
        <w:jc w:val="left"/>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lastRenderedPageBreak/>
        <w:t xml:space="preserve">　　三、申报范围</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（一）本市企事业单位中从事以上专业技术岗位的在职专业技术人员，已受聘助理工程师职务（岗位），拟聘任工程师职务（岗位），至申报截止当日符合以下条件之一,并符合本通知规定条件的人员。</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(1)具有本市户籍；</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(2)持有效期内的《上海市居住证》；</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(3)近24个月内在本市累计缴纳社会保险满12个月。</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（二）下列情况者不在申报范围内：</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1、已办理退休手续或当年度达到法定退休年龄的人员；</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2、上一年度参加本市中级职称评审未获通过者（其后有重大业绩者除外，重大业绩指在上次参评后获得省部级以上奖项，或出版个人独立撰写的本专业论著）。</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四、申报条件和要求</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（一）基本条件</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拥护中国共产党领导，遵守宪法和国家法律、法规，恪守职业道德，具有良好的职业操守和从业行为。无不良诚信记录，无尚在有效期内的相关处罚。</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lastRenderedPageBreak/>
        <w:t xml:space="preserve">　　（二）学历及资历条件</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1、获得理工类相关专业博士学位，经考核合格；</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2、获得理工类相关专业硕士学历，受聘助理工程师职务满2年；</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3、获得理工类相关专业大学本科学历（毕业后不少于5年），受聘助理工程师职务满4年；</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4、获得理工类相关专业大学专科学历（毕业后不少于7年），受聘助理工程师职务满4年；</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5、先聘为助理工程师职务，后取得相关专业在职学历的人员，在取得在职学历后从事工程技术工作满一年方可按在职学历计算资历年限；</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6、任职资历自按规定聘任助理工程师职务起算，计算到2023年6月30日。受聘助理工程师专业技术职务，需提交单位出具的聘任证明文件，也可下载上海市人力资源和社会保障局统一印制的《专业技术职务聘任表》填写并由单位盖章后提交；</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7、由高技能岗位转到专业技术岗位人员，可按沪人社专〔2021〕312号文件规定执行。</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（三）工作业绩和专业能力要求</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具备下列部门之一的条件：</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lastRenderedPageBreak/>
        <w:t xml:space="preserve">　　1、生产、技术管理部门</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①基本掌握现代生产管理和技术管理的方法，有独立解决比较复杂的技术问题的能力。</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②能够灵活运用本专业的基础理论知识和专业技术知识，熟悉本专业国内外现状和发展趋势。</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③有一定从事生产、技术管理工作的实践经验，取得有实用价值的技术成果和技术经济效益。</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2、研究、设计部门</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①有独立承担较复杂项目的研究、设计工作能力，能解决本专业范围内比较复杂的技术问题。</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②较系统地掌握本专业的基础理论知识和专业技术知识，熟悉本专业国内外现状和发展趋势。</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③有一定从事工程技术研究、设计工作的实践经验，能吸收、采用国内外先进技术，在提高研究、设计水平和经济效益方面取得一定成绩。</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（四）专业论文要求</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1、在任助理工程师期间独立撰写的，与本人工作、专业内容密切相关的论文。论文原稿字数不少于3000字。提交符合要求的论文数量一篇（含）以上，</w:t>
      </w:r>
      <w:r w:rsidRPr="00ED4B88">
        <w:rPr>
          <w:rFonts w:ascii="微软雅黑" w:eastAsia="微软雅黑" w:hAnsi="微软雅黑" w:hint="eastAsia"/>
          <w:color w:val="333333"/>
          <w:sz w:val="24"/>
          <w:szCs w:val="24"/>
        </w:rPr>
        <w:lastRenderedPageBreak/>
        <w:t>如论文数量超过一篇，请务必注明哪篇为主审论文。</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2、申报者的论文在专业刊物上公开发表的（以书刊号为准），在申报系统里需同时上传发表刊物的封面、目录、论文内容及封底。</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3、若申报者以外文发表的论文作为主审论文，需同时提供中文译稿，且专家审核时以中文内容为准。非主审论文的外文论文请提供中文内容概要简介。</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4、毕业论文或学位论文，以及项目（工程）设计说明书、产品说明书，可行性研究、立项申请、验收报告以及测试报告、产品标准、专利申请报告等不可作为送审论文。</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5、评委会将对部分提交的论文进行重合度检查，若申报人自己已进行过论文“查重”，请将“查重”报告随论文一起提交。</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（五）单位工作考核及公示要求</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近三年在所聘助理工程师岗位的业绩考核须为合格及以上（由所在单位人事部门提供）。（详见附件2）</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为确保职称申报程序公正，所在单位对申报人提出的职称申报情况应在相关范围内予以公示。</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（六）继续教育要求</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按照《关于完善本市专业技术人员继续教育公需科目培训工作的通知》（沪</w:t>
      </w:r>
      <w:r w:rsidRPr="00ED4B88">
        <w:rPr>
          <w:rFonts w:ascii="微软雅黑" w:eastAsia="微软雅黑" w:hAnsi="微软雅黑" w:hint="eastAsia"/>
          <w:color w:val="333333"/>
          <w:sz w:val="24"/>
          <w:szCs w:val="24"/>
        </w:rPr>
        <w:lastRenderedPageBreak/>
        <w:t>人社专〔2017〕256号）的要求，结合本专业情况，对申报2023年工程师的申报人员提出继续教育要求如下：</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申报人员需完成与本评委会申报专业相关的公需科目18学时，专业科目42学时，合计60学时的继续教育。</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1、公需科目。公需科目培训课程安排和报名事宜，请登录“上海市专业技术人员继续教育网”（https://www.sacee.org.cn，进入“公需科目培训”栏目）查询《2023年上海市专业技术人员继续教育公需科目培训实施计划》。</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2、专业科目。专业科目具体报名事宜,请登录“上海市专业技术人员继续教育网”（https://www.sacee.org.cn，进入“专业科目培训”栏目，查找“上海市经信委工程系列直属、土建、人工智能应用”继续教育）。</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五、网上申报办法和注意事项</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（一）网上申报办法</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登录上海市职称服务系统（上海市人力资源和社会保障局公共服务平台（http://ggfw.rsj.sh.gov.cn）—网上办事——职称申报），先按要求用手机“随申办市民云”APP注册用户信息，如实填写基本资料，尽可能将所有申报信息填写完整，并确保与纸质材料的内容完全一致。</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选择所要申报的评委会及专业学科组，按要求上传规定的申报材料附件，凡要求提供的附件材料均应上传至系统。申报材料填写和附件上传完成后，经检查</w:t>
      </w:r>
      <w:r w:rsidRPr="00ED4B88">
        <w:rPr>
          <w:rFonts w:ascii="微软雅黑" w:eastAsia="微软雅黑" w:hAnsi="微软雅黑" w:hint="eastAsia"/>
          <w:color w:val="333333"/>
          <w:sz w:val="24"/>
          <w:szCs w:val="24"/>
        </w:rPr>
        <w:lastRenderedPageBreak/>
        <w:t>无误，点击提交，同时打印申报表（请确认上传附件不携带病毒，否则可能导致材料上传不完整而影响评审）。网上材料填写完整后，由系统生成申报表，申报人将单位审核意见一栏交由单位人事部门审核盖章，同时申报人将完整的职称评审申报表（包含单位审核意见盖章和个人承诺签名，PDF格式）上传在“单位意见栏”。</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公示无异后，由上海市人力资源和社会保障局统一制作职称电子资格证书，职称电子资格证书将在纸质材料核查工作完成后交人社局制作。申报人可在申报网页、上海人社APP中查看、下载，接到评委会职称服务平台短信通知后领取评审结果及其他材料（归档用）。</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其他网上申报事项详见附件1。</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（二）注意事项</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1、评委会在网上审核通过后，对通过初审人员分配受理号（评委会也将通过申报平台向申报人发送短信通知），申报人在收到受理号后：（1）缴纳评审费并截屏、打印付款凭证保留；（2）请及时回复评委会的短信，内容为“评审费已付”。</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2、申报人在职称申报系统中提交的材料作为专家评审结果的最终依据，上传材料与提交的书面材料必须保持一致。</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3、如评委会专家认为部分申报人的申报材料需要当面沟通的，将另行以平</w:t>
      </w:r>
      <w:r w:rsidRPr="00ED4B88">
        <w:rPr>
          <w:rFonts w:ascii="微软雅黑" w:eastAsia="微软雅黑" w:hAnsi="微软雅黑" w:hint="eastAsia"/>
          <w:color w:val="333333"/>
          <w:sz w:val="24"/>
          <w:szCs w:val="24"/>
        </w:rPr>
        <w:lastRenderedPageBreak/>
        <w:t>台短信通知。</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4、按国家规定，原则上央企不得参加地方职称评审，如确有需要参评中级职称，非主专业可经上一级单位（相当于局级）出具委托书后申报，主专业需事先与市人社局取得联系，获得同意后方可申报。</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六、评审费及缴费</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评审费人民币800元/人。</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本评委会尚未开通职称申报系统“网上缴费”功能。申报人一旦从申报系统收到评委会分配的受理号后，通过网上银行、手机银行或银行柜面转入以下账号，并保留转账凭证，与纸质材料一起交予评委会办公室。</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单位名称：上海市经济和信息化发展研究中心</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单位税号：12310000351030607J</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银行账号：98510155260000074</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开户银行：上海浦东发展银行文化广场支行</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转账时务必在备注栏注明：申报者姓名+2023年直属工程师评审费，如：李XX2023年直属工程师评审费。如果申报者请别人代缴，必须标注申报者的姓名，而非代缴者姓名。</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lastRenderedPageBreak/>
        <w:t xml:space="preserve">　　电子发票将发送至个人在申报系统中提供的电子邮箱（请务必准确填写）。</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如当年度未通过评审，费用不予退还。</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七、申报时间</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1、网上注册填报时间</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2023年7月1日至8月10日止。</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网上注册填报截止日未完成第一次点击确认提交的，将视为放弃申报。</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2、网上审核及材料修改</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评委会办公室将对提交的材料进行形式审核，申报人应该经常关注评审进程，及时修改材料。未在要求完成的修改时间前进行修改并点击确认提交的，将视为放弃申报。</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3、纸质材料核查时间和地址</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时间：具体以平台短信通知为准</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地点：胶州路358弄1号楼402室</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八、联系人及联系方式</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1、上海市经济和信息化发展研究中心职称评审办公室</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lastRenderedPageBreak/>
        <w:t xml:space="preserve">　　（除申报输配电专业外）</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联系地址：胶州路358弄1号楼401室</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联系人：丁老师 </w:t>
      </w:r>
      <w:r>
        <w:rPr>
          <w:rFonts w:ascii="微软雅黑" w:eastAsia="微软雅黑" w:hAnsi="微软雅黑"/>
          <w:color w:val="333333"/>
          <w:sz w:val="24"/>
          <w:szCs w:val="24"/>
        </w:rPr>
        <w:t xml:space="preserve">   </w:t>
      </w:r>
      <w:r w:rsidRPr="00ED4B88">
        <w:rPr>
          <w:rFonts w:ascii="微软雅黑" w:eastAsia="微软雅黑" w:hAnsi="微软雅黑" w:hint="eastAsia"/>
          <w:color w:val="333333"/>
          <w:sz w:val="24"/>
          <w:szCs w:val="24"/>
        </w:rPr>
        <w:t>黄老师</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联系电话：62120378</w:t>
      </w:r>
      <w:r>
        <w:rPr>
          <w:rFonts w:ascii="微软雅黑" w:eastAsia="微软雅黑" w:hAnsi="微软雅黑"/>
          <w:color w:val="333333"/>
          <w:sz w:val="24"/>
          <w:szCs w:val="24"/>
        </w:rPr>
        <w:t xml:space="preserve">   </w:t>
      </w:r>
      <w:r w:rsidRPr="00ED4B88">
        <w:rPr>
          <w:rFonts w:ascii="微软雅黑" w:eastAsia="微软雅黑" w:hAnsi="微软雅黑" w:hint="eastAsia"/>
          <w:color w:val="333333"/>
          <w:sz w:val="24"/>
          <w:szCs w:val="24"/>
        </w:rPr>
        <w:t xml:space="preserve"> 62760078</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咨询时间：上午9:30-11:30；下午13:00-16:00（周一至周五工作日）</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2、上海市电力工程行业协会</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上海市黄浦区南苏州路333号华隆大厦11楼（仅受理申报输配电专业）</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联系人：李老师 </w:t>
      </w:r>
      <w:r>
        <w:rPr>
          <w:rFonts w:ascii="微软雅黑" w:eastAsia="微软雅黑" w:hAnsi="微软雅黑"/>
          <w:color w:val="333333"/>
          <w:sz w:val="24"/>
          <w:szCs w:val="24"/>
        </w:rPr>
        <w:t xml:space="preserve">       </w:t>
      </w:r>
      <w:bookmarkStart w:id="0" w:name="_GoBack"/>
      <w:bookmarkEnd w:id="0"/>
      <w:r w:rsidRPr="00ED4B88">
        <w:rPr>
          <w:rFonts w:ascii="微软雅黑" w:eastAsia="微软雅黑" w:hAnsi="微软雅黑" w:hint="eastAsia"/>
          <w:color w:val="333333"/>
          <w:sz w:val="24"/>
          <w:szCs w:val="24"/>
        </w:rPr>
        <w:t>联系电话：63331027</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咨询时间：上午9点-下午4点（周一至周五工作日）</w:t>
      </w:r>
    </w:p>
    <w:p w:rsidR="00ED4B88" w:rsidRPr="00ED4B88" w:rsidRDefault="00ED4B88" w:rsidP="00ED4B88">
      <w:pPr>
        <w:spacing w:after="375" w:line="480" w:lineRule="auto"/>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特别申明：本评委会从未委托任何单位、组织或个人进行职称代办、咨询服务。</w:t>
      </w:r>
    </w:p>
    <w:p w:rsidR="00ED4B88" w:rsidRPr="00ED4B88" w:rsidRDefault="00ED4B88" w:rsidP="00ED4B88">
      <w:pPr>
        <w:spacing w:after="375" w:line="480" w:lineRule="auto"/>
        <w:jc w:val="right"/>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上海市经济和信息化委员会</w:t>
      </w:r>
    </w:p>
    <w:p w:rsidR="00ED4B88" w:rsidRPr="00ED4B88" w:rsidRDefault="00ED4B88" w:rsidP="00ED4B88">
      <w:pPr>
        <w:spacing w:after="375" w:line="480" w:lineRule="auto"/>
        <w:jc w:val="right"/>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工程系列（直属）中级职称评审委员会</w:t>
      </w:r>
    </w:p>
    <w:p w:rsidR="00ED4B88" w:rsidRPr="00ED4B88" w:rsidRDefault="00ED4B88" w:rsidP="00ED4B88">
      <w:pPr>
        <w:spacing w:after="375" w:line="480" w:lineRule="auto"/>
        <w:jc w:val="right"/>
        <w:rPr>
          <w:rFonts w:ascii="微软雅黑" w:eastAsia="微软雅黑" w:hAnsi="微软雅黑" w:hint="eastAsia"/>
          <w:color w:val="333333"/>
          <w:sz w:val="24"/>
          <w:szCs w:val="24"/>
        </w:rPr>
      </w:pPr>
      <w:r w:rsidRPr="00ED4B88">
        <w:rPr>
          <w:rFonts w:ascii="微软雅黑" w:eastAsia="微软雅黑" w:hAnsi="微软雅黑" w:hint="eastAsia"/>
          <w:color w:val="333333"/>
          <w:sz w:val="24"/>
          <w:szCs w:val="24"/>
        </w:rPr>
        <w:t xml:space="preserve">　　2023年4月27日</w:t>
      </w:r>
    </w:p>
    <w:p w:rsidR="001C4177" w:rsidRPr="00ED4B88" w:rsidRDefault="001C4177" w:rsidP="00ED4B88">
      <w:pPr>
        <w:rPr>
          <w:sz w:val="24"/>
          <w:szCs w:val="24"/>
        </w:rPr>
      </w:pPr>
    </w:p>
    <w:sectPr w:rsidR="001C4177" w:rsidRPr="00ED4B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7C3B" w:rsidRDefault="00717C3B" w:rsidP="00E3351A">
      <w:r>
        <w:separator/>
      </w:r>
    </w:p>
  </w:endnote>
  <w:endnote w:type="continuationSeparator" w:id="0">
    <w:p w:rsidR="00717C3B" w:rsidRDefault="00717C3B" w:rsidP="00E33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7C3B" w:rsidRDefault="00717C3B" w:rsidP="00E3351A">
      <w:r>
        <w:separator/>
      </w:r>
    </w:p>
  </w:footnote>
  <w:footnote w:type="continuationSeparator" w:id="0">
    <w:p w:rsidR="00717C3B" w:rsidRDefault="00717C3B" w:rsidP="00E3351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27D71"/>
    <w:multiLevelType w:val="multilevel"/>
    <w:tmpl w:val="5C8AA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18F"/>
    <w:rsid w:val="0000007C"/>
    <w:rsid w:val="00025BAD"/>
    <w:rsid w:val="00056852"/>
    <w:rsid w:val="00064B41"/>
    <w:rsid w:val="000745CA"/>
    <w:rsid w:val="000975C8"/>
    <w:rsid w:val="000B481A"/>
    <w:rsid w:val="000C4409"/>
    <w:rsid w:val="000D1D08"/>
    <w:rsid w:val="000F79D6"/>
    <w:rsid w:val="001264F3"/>
    <w:rsid w:val="00150C3F"/>
    <w:rsid w:val="00166105"/>
    <w:rsid w:val="001C4177"/>
    <w:rsid w:val="00232D4B"/>
    <w:rsid w:val="00235153"/>
    <w:rsid w:val="00251C75"/>
    <w:rsid w:val="00256FA3"/>
    <w:rsid w:val="002947FD"/>
    <w:rsid w:val="002A290F"/>
    <w:rsid w:val="002D17DA"/>
    <w:rsid w:val="002D1BFC"/>
    <w:rsid w:val="003176A5"/>
    <w:rsid w:val="00342195"/>
    <w:rsid w:val="00342ECA"/>
    <w:rsid w:val="00347FEB"/>
    <w:rsid w:val="003505CB"/>
    <w:rsid w:val="00353DE0"/>
    <w:rsid w:val="0036240F"/>
    <w:rsid w:val="00373AB6"/>
    <w:rsid w:val="003F2E96"/>
    <w:rsid w:val="00410AC6"/>
    <w:rsid w:val="00446C8C"/>
    <w:rsid w:val="00494859"/>
    <w:rsid w:val="00513CB2"/>
    <w:rsid w:val="005201B1"/>
    <w:rsid w:val="0053231E"/>
    <w:rsid w:val="005429D5"/>
    <w:rsid w:val="00555AA9"/>
    <w:rsid w:val="00576800"/>
    <w:rsid w:val="00581FE5"/>
    <w:rsid w:val="005929E3"/>
    <w:rsid w:val="005B3878"/>
    <w:rsid w:val="005C00F3"/>
    <w:rsid w:val="006048E7"/>
    <w:rsid w:val="00614DDF"/>
    <w:rsid w:val="00623586"/>
    <w:rsid w:val="006351B6"/>
    <w:rsid w:val="00663D17"/>
    <w:rsid w:val="00664FFF"/>
    <w:rsid w:val="006A0ED4"/>
    <w:rsid w:val="006D1DCE"/>
    <w:rsid w:val="006D58F4"/>
    <w:rsid w:val="006D6FDD"/>
    <w:rsid w:val="006E652B"/>
    <w:rsid w:val="006F6C01"/>
    <w:rsid w:val="007060C9"/>
    <w:rsid w:val="00717C3B"/>
    <w:rsid w:val="00740328"/>
    <w:rsid w:val="007801C5"/>
    <w:rsid w:val="007A60C0"/>
    <w:rsid w:val="007E4FB7"/>
    <w:rsid w:val="007F68D8"/>
    <w:rsid w:val="00823B3B"/>
    <w:rsid w:val="00842714"/>
    <w:rsid w:val="00850E61"/>
    <w:rsid w:val="008A5EDE"/>
    <w:rsid w:val="008A65E9"/>
    <w:rsid w:val="008E6C99"/>
    <w:rsid w:val="008F418F"/>
    <w:rsid w:val="0092102E"/>
    <w:rsid w:val="009300B9"/>
    <w:rsid w:val="00931B3D"/>
    <w:rsid w:val="00954C2C"/>
    <w:rsid w:val="0096312D"/>
    <w:rsid w:val="00996169"/>
    <w:rsid w:val="009A10CC"/>
    <w:rsid w:val="00A1538C"/>
    <w:rsid w:val="00A17373"/>
    <w:rsid w:val="00A55E68"/>
    <w:rsid w:val="00A97637"/>
    <w:rsid w:val="00AD2C5C"/>
    <w:rsid w:val="00AD3719"/>
    <w:rsid w:val="00AD56F5"/>
    <w:rsid w:val="00B139BE"/>
    <w:rsid w:val="00B23C11"/>
    <w:rsid w:val="00B743FF"/>
    <w:rsid w:val="00B82DCC"/>
    <w:rsid w:val="00BC7288"/>
    <w:rsid w:val="00C25DED"/>
    <w:rsid w:val="00C40E8C"/>
    <w:rsid w:val="00C51AD2"/>
    <w:rsid w:val="00C5551F"/>
    <w:rsid w:val="00C57A22"/>
    <w:rsid w:val="00C77617"/>
    <w:rsid w:val="00CD1BD0"/>
    <w:rsid w:val="00CE76EA"/>
    <w:rsid w:val="00D83E79"/>
    <w:rsid w:val="00DD202A"/>
    <w:rsid w:val="00DD6725"/>
    <w:rsid w:val="00DF40CA"/>
    <w:rsid w:val="00E3351A"/>
    <w:rsid w:val="00E94573"/>
    <w:rsid w:val="00E97FBB"/>
    <w:rsid w:val="00EA232C"/>
    <w:rsid w:val="00EB13AA"/>
    <w:rsid w:val="00EB2CAD"/>
    <w:rsid w:val="00ED4B88"/>
    <w:rsid w:val="00EE308E"/>
    <w:rsid w:val="00EE353E"/>
    <w:rsid w:val="00EF6716"/>
    <w:rsid w:val="00F2033C"/>
    <w:rsid w:val="00F35F58"/>
    <w:rsid w:val="00F67121"/>
    <w:rsid w:val="00F94542"/>
    <w:rsid w:val="00F96AA0"/>
    <w:rsid w:val="00FE6707"/>
    <w:rsid w:val="00FE67C1"/>
    <w:rsid w:val="00FF5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B8912F"/>
  <w15:docId w15:val="{747B842F-A183-4893-8A65-41F6ADB0B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E3351A"/>
    <w:pPr>
      <w:widowControl/>
      <w:spacing w:before="300" w:after="150"/>
      <w:jc w:val="left"/>
      <w:outlineLvl w:val="1"/>
    </w:pPr>
    <w:rPr>
      <w:rFonts w:ascii="inherit" w:eastAsia="宋体" w:hAnsi="inherit" w:cs="宋体"/>
      <w:kern w:val="0"/>
      <w:sz w:val="45"/>
      <w:szCs w:val="4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351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351A"/>
    <w:rPr>
      <w:sz w:val="18"/>
      <w:szCs w:val="18"/>
    </w:rPr>
  </w:style>
  <w:style w:type="paragraph" w:styleId="a5">
    <w:name w:val="footer"/>
    <w:basedOn w:val="a"/>
    <w:link w:val="a6"/>
    <w:uiPriority w:val="99"/>
    <w:unhideWhenUsed/>
    <w:rsid w:val="00E3351A"/>
    <w:pPr>
      <w:tabs>
        <w:tab w:val="center" w:pos="4153"/>
        <w:tab w:val="right" w:pos="8306"/>
      </w:tabs>
      <w:snapToGrid w:val="0"/>
      <w:jc w:val="left"/>
    </w:pPr>
    <w:rPr>
      <w:sz w:val="18"/>
      <w:szCs w:val="18"/>
    </w:rPr>
  </w:style>
  <w:style w:type="character" w:customStyle="1" w:styleId="a6">
    <w:name w:val="页脚 字符"/>
    <w:basedOn w:val="a0"/>
    <w:link w:val="a5"/>
    <w:uiPriority w:val="99"/>
    <w:rsid w:val="00E3351A"/>
    <w:rPr>
      <w:sz w:val="18"/>
      <w:szCs w:val="18"/>
    </w:rPr>
  </w:style>
  <w:style w:type="character" w:customStyle="1" w:styleId="20">
    <w:name w:val="标题 2 字符"/>
    <w:basedOn w:val="a0"/>
    <w:link w:val="2"/>
    <w:uiPriority w:val="9"/>
    <w:rsid w:val="00E3351A"/>
    <w:rPr>
      <w:rFonts w:ascii="inherit" w:eastAsia="宋体" w:hAnsi="inherit" w:cs="宋体"/>
      <w:kern w:val="0"/>
      <w:sz w:val="45"/>
      <w:szCs w:val="45"/>
    </w:rPr>
  </w:style>
  <w:style w:type="character" w:styleId="a7">
    <w:name w:val="Hyperlink"/>
    <w:basedOn w:val="a0"/>
    <w:uiPriority w:val="99"/>
    <w:semiHidden/>
    <w:unhideWhenUsed/>
    <w:rsid w:val="00E3351A"/>
    <w:rPr>
      <w:strike w:val="0"/>
      <w:dstrike w:val="0"/>
      <w:color w:val="2F73CB"/>
      <w:u w:val="none"/>
      <w:effect w:val="none"/>
      <w:shd w:val="clear" w:color="auto" w:fill="auto"/>
    </w:rPr>
  </w:style>
  <w:style w:type="character" w:customStyle="1" w:styleId="inline-block">
    <w:name w:val="inline-block"/>
    <w:basedOn w:val="a0"/>
    <w:rsid w:val="00E3351A"/>
  </w:style>
  <w:style w:type="paragraph" w:styleId="a8">
    <w:name w:val="Balloon Text"/>
    <w:basedOn w:val="a"/>
    <w:link w:val="a9"/>
    <w:uiPriority w:val="99"/>
    <w:semiHidden/>
    <w:unhideWhenUsed/>
    <w:rsid w:val="00AD2C5C"/>
    <w:rPr>
      <w:sz w:val="18"/>
      <w:szCs w:val="18"/>
    </w:rPr>
  </w:style>
  <w:style w:type="character" w:customStyle="1" w:styleId="a9">
    <w:name w:val="批注框文本 字符"/>
    <w:basedOn w:val="a0"/>
    <w:link w:val="a8"/>
    <w:uiPriority w:val="99"/>
    <w:semiHidden/>
    <w:rsid w:val="00AD2C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126722">
      <w:bodyDiv w:val="1"/>
      <w:marLeft w:val="0"/>
      <w:marRight w:val="0"/>
      <w:marTop w:val="0"/>
      <w:marBottom w:val="0"/>
      <w:divBdr>
        <w:top w:val="none" w:sz="0" w:space="0" w:color="auto"/>
        <w:left w:val="none" w:sz="0" w:space="0" w:color="auto"/>
        <w:bottom w:val="none" w:sz="0" w:space="0" w:color="auto"/>
        <w:right w:val="none" w:sz="0" w:space="0" w:color="auto"/>
      </w:divBdr>
      <w:divsChild>
        <w:div w:id="1198205058">
          <w:marLeft w:val="0"/>
          <w:marRight w:val="0"/>
          <w:marTop w:val="0"/>
          <w:marBottom w:val="0"/>
          <w:divBdr>
            <w:top w:val="none" w:sz="0" w:space="0" w:color="auto"/>
            <w:left w:val="none" w:sz="0" w:space="0" w:color="auto"/>
            <w:bottom w:val="none" w:sz="0" w:space="0" w:color="auto"/>
            <w:right w:val="none" w:sz="0" w:space="0" w:color="auto"/>
          </w:divBdr>
          <w:divsChild>
            <w:div w:id="1088887712">
              <w:marLeft w:val="0"/>
              <w:marRight w:val="0"/>
              <w:marTop w:val="0"/>
              <w:marBottom w:val="0"/>
              <w:divBdr>
                <w:top w:val="none" w:sz="0" w:space="0" w:color="auto"/>
                <w:left w:val="none" w:sz="0" w:space="0" w:color="auto"/>
                <w:bottom w:val="none" w:sz="0" w:space="0" w:color="auto"/>
                <w:right w:val="none" w:sz="0" w:space="0" w:color="auto"/>
              </w:divBdr>
              <w:divsChild>
                <w:div w:id="2087609920">
                  <w:marLeft w:val="-75"/>
                  <w:marRight w:val="-75"/>
                  <w:marTop w:val="0"/>
                  <w:marBottom w:val="0"/>
                  <w:divBdr>
                    <w:top w:val="none" w:sz="0" w:space="0" w:color="auto"/>
                    <w:left w:val="none" w:sz="0" w:space="0" w:color="auto"/>
                    <w:bottom w:val="none" w:sz="0" w:space="0" w:color="auto"/>
                    <w:right w:val="none" w:sz="0" w:space="0" w:color="auto"/>
                  </w:divBdr>
                  <w:divsChild>
                    <w:div w:id="399253239">
                      <w:marLeft w:val="0"/>
                      <w:marRight w:val="0"/>
                      <w:marTop w:val="0"/>
                      <w:marBottom w:val="0"/>
                      <w:divBdr>
                        <w:top w:val="none" w:sz="0" w:space="0" w:color="auto"/>
                        <w:left w:val="none" w:sz="0" w:space="0" w:color="auto"/>
                        <w:bottom w:val="none" w:sz="0" w:space="0" w:color="auto"/>
                        <w:right w:val="none" w:sz="0" w:space="0" w:color="auto"/>
                      </w:divBdr>
                      <w:divsChild>
                        <w:div w:id="2042700559">
                          <w:marLeft w:val="0"/>
                          <w:marRight w:val="0"/>
                          <w:marTop w:val="0"/>
                          <w:marBottom w:val="0"/>
                          <w:divBdr>
                            <w:top w:val="single" w:sz="6" w:space="23" w:color="EEEEEE"/>
                            <w:left w:val="none" w:sz="0" w:space="0" w:color="auto"/>
                            <w:bottom w:val="none" w:sz="0" w:space="0" w:color="auto"/>
                            <w:right w:val="none" w:sz="0" w:space="0" w:color="auto"/>
                          </w:divBdr>
                          <w:divsChild>
                            <w:div w:id="770515106">
                              <w:marLeft w:val="0"/>
                              <w:marRight w:val="0"/>
                              <w:marTop w:val="0"/>
                              <w:marBottom w:val="0"/>
                              <w:divBdr>
                                <w:top w:val="none" w:sz="0" w:space="0" w:color="auto"/>
                                <w:left w:val="none" w:sz="0" w:space="0" w:color="auto"/>
                                <w:bottom w:val="none" w:sz="0" w:space="0" w:color="auto"/>
                                <w:right w:val="none" w:sz="0" w:space="0" w:color="auto"/>
                              </w:divBdr>
                              <w:divsChild>
                                <w:div w:id="1194465041">
                                  <w:marLeft w:val="0"/>
                                  <w:marRight w:val="0"/>
                                  <w:marTop w:val="0"/>
                                  <w:marBottom w:val="0"/>
                                  <w:divBdr>
                                    <w:top w:val="none" w:sz="0" w:space="0" w:color="auto"/>
                                    <w:left w:val="none" w:sz="0" w:space="0" w:color="auto"/>
                                    <w:bottom w:val="none" w:sz="0" w:space="0" w:color="auto"/>
                                    <w:right w:val="none" w:sz="0" w:space="0" w:color="auto"/>
                                  </w:divBdr>
                                </w:div>
                                <w:div w:id="144738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1877172">
      <w:bodyDiv w:val="1"/>
      <w:marLeft w:val="0"/>
      <w:marRight w:val="0"/>
      <w:marTop w:val="0"/>
      <w:marBottom w:val="0"/>
      <w:divBdr>
        <w:top w:val="none" w:sz="0" w:space="0" w:color="auto"/>
        <w:left w:val="none" w:sz="0" w:space="0" w:color="auto"/>
        <w:bottom w:val="none" w:sz="0" w:space="0" w:color="auto"/>
        <w:right w:val="none" w:sz="0" w:space="0" w:color="auto"/>
      </w:divBdr>
      <w:divsChild>
        <w:div w:id="1153907981">
          <w:marLeft w:val="0"/>
          <w:marRight w:val="0"/>
          <w:marTop w:val="0"/>
          <w:marBottom w:val="0"/>
          <w:divBdr>
            <w:top w:val="none" w:sz="0" w:space="0" w:color="auto"/>
            <w:left w:val="none" w:sz="0" w:space="0" w:color="auto"/>
            <w:bottom w:val="none" w:sz="0" w:space="0" w:color="auto"/>
            <w:right w:val="none" w:sz="0" w:space="0" w:color="auto"/>
          </w:divBdr>
          <w:divsChild>
            <w:div w:id="795635118">
              <w:marLeft w:val="0"/>
              <w:marRight w:val="0"/>
              <w:marTop w:val="0"/>
              <w:marBottom w:val="0"/>
              <w:divBdr>
                <w:top w:val="none" w:sz="0" w:space="0" w:color="auto"/>
                <w:left w:val="none" w:sz="0" w:space="0" w:color="auto"/>
                <w:bottom w:val="none" w:sz="0" w:space="0" w:color="auto"/>
                <w:right w:val="none" w:sz="0" w:space="0" w:color="auto"/>
              </w:divBdr>
              <w:divsChild>
                <w:div w:id="590547229">
                  <w:marLeft w:val="-75"/>
                  <w:marRight w:val="-75"/>
                  <w:marTop w:val="0"/>
                  <w:marBottom w:val="0"/>
                  <w:divBdr>
                    <w:top w:val="none" w:sz="0" w:space="0" w:color="auto"/>
                    <w:left w:val="none" w:sz="0" w:space="0" w:color="auto"/>
                    <w:bottom w:val="none" w:sz="0" w:space="0" w:color="auto"/>
                    <w:right w:val="none" w:sz="0" w:space="0" w:color="auto"/>
                  </w:divBdr>
                  <w:divsChild>
                    <w:div w:id="380057952">
                      <w:marLeft w:val="0"/>
                      <w:marRight w:val="0"/>
                      <w:marTop w:val="0"/>
                      <w:marBottom w:val="0"/>
                      <w:divBdr>
                        <w:top w:val="none" w:sz="0" w:space="0" w:color="auto"/>
                        <w:left w:val="none" w:sz="0" w:space="0" w:color="auto"/>
                        <w:bottom w:val="none" w:sz="0" w:space="0" w:color="auto"/>
                        <w:right w:val="none" w:sz="0" w:space="0" w:color="auto"/>
                      </w:divBdr>
                      <w:divsChild>
                        <w:div w:id="549926619">
                          <w:marLeft w:val="0"/>
                          <w:marRight w:val="0"/>
                          <w:marTop w:val="0"/>
                          <w:marBottom w:val="0"/>
                          <w:divBdr>
                            <w:top w:val="single" w:sz="6" w:space="23" w:color="EEEEEE"/>
                            <w:left w:val="none" w:sz="0" w:space="0" w:color="auto"/>
                            <w:bottom w:val="none" w:sz="0" w:space="0" w:color="auto"/>
                            <w:right w:val="none" w:sz="0" w:space="0" w:color="auto"/>
                          </w:divBdr>
                          <w:divsChild>
                            <w:div w:id="1785420307">
                              <w:marLeft w:val="0"/>
                              <w:marRight w:val="0"/>
                              <w:marTop w:val="0"/>
                              <w:marBottom w:val="0"/>
                              <w:divBdr>
                                <w:top w:val="none" w:sz="0" w:space="0" w:color="auto"/>
                                <w:left w:val="none" w:sz="0" w:space="0" w:color="auto"/>
                                <w:bottom w:val="none" w:sz="0" w:space="0" w:color="auto"/>
                                <w:right w:val="none" w:sz="0" w:space="0" w:color="auto"/>
                              </w:divBdr>
                              <w:divsChild>
                                <w:div w:id="38452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652E87-3259-4E93-A3AD-C5A8C35A2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11</Pages>
  <Words>663</Words>
  <Characters>3782</Characters>
  <Application>Microsoft Office Word</Application>
  <DocSecurity>0</DocSecurity>
  <Lines>31</Lines>
  <Paragraphs>8</Paragraphs>
  <ScaleCrop>false</ScaleCrop>
  <Company/>
  <LinksUpToDate>false</LinksUpToDate>
  <CharactersWithSpaces>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cp:lastModifiedBy>
  <cp:revision>19</cp:revision>
  <dcterms:created xsi:type="dcterms:W3CDTF">2023-04-18T14:07:00Z</dcterms:created>
  <dcterms:modified xsi:type="dcterms:W3CDTF">2023-05-13T11:53:00Z</dcterms:modified>
</cp:coreProperties>
</file>