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84A8DF8">
      <w:pPr>
        <w:spacing w:line="580" w:lineRule="exact"/>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关于开展2025年度上海市工程系列新材料与能源专业中级职称评审工作的通知</w:t>
      </w:r>
    </w:p>
    <w:p w14:paraId="4AD0A61F">
      <w:pPr>
        <w:spacing w:line="580" w:lineRule="exact"/>
        <w:jc w:val="center"/>
        <w:rPr>
          <w:rFonts w:ascii="方正小标宋_GBK" w:hAnsi="方正小标宋_GBK" w:eastAsia="方正小标宋_GBK" w:cs="方正小标宋_GBK"/>
          <w:sz w:val="36"/>
          <w:szCs w:val="36"/>
        </w:rPr>
      </w:pPr>
    </w:p>
    <w:p w14:paraId="1949A93E">
      <w:pPr>
        <w:pStyle w:val="8"/>
        <w:spacing w:before="0" w:beforeAutospacing="0" w:after="0" w:afterAutospacing="0" w:line="580" w:lineRule="exact"/>
        <w:jc w:val="both"/>
        <w:rPr>
          <w:rFonts w:ascii="Times New Roman" w:hAnsi="Times New Roman" w:eastAsia="仿宋_GB2312"/>
          <w:kern w:val="2"/>
          <w:sz w:val="30"/>
          <w:szCs w:val="30"/>
        </w:rPr>
      </w:pPr>
      <w:r>
        <w:rPr>
          <w:rFonts w:ascii="Times New Roman" w:hAnsi="Times New Roman" w:eastAsia="仿宋_GB2312"/>
          <w:kern w:val="2"/>
          <w:sz w:val="30"/>
          <w:szCs w:val="30"/>
        </w:rPr>
        <w:t>各有关单位：</w:t>
      </w:r>
    </w:p>
    <w:p w14:paraId="02F76008">
      <w:pPr>
        <w:widowControl/>
        <w:spacing w:line="580" w:lineRule="exact"/>
        <w:ind w:firstLine="600" w:firstLineChars="200"/>
        <w:rPr>
          <w:rFonts w:eastAsia="仿宋_GB2312"/>
          <w:sz w:val="30"/>
          <w:szCs w:val="30"/>
        </w:rPr>
      </w:pPr>
      <w:r>
        <w:rPr>
          <w:rFonts w:eastAsia="仿宋_GB2312"/>
          <w:sz w:val="30"/>
          <w:szCs w:val="30"/>
        </w:rPr>
        <w:t>为推进本市新材料与能源产业发展，加快集聚和培养新材料与能源领域专业技术人才，推进高水平人才高地建设，根据《关于深化工程技术人才职称制度改革的指导意见》（人社部发〔2019〕16号）及《上海市职称评审管理办法》（沪人社规〔2021〕30号）等文件精神，经市人力资源社会保障局同意，现就2025年度上海市工程系列新材料与能源专业中级职称评审工作通知如下：</w:t>
      </w:r>
    </w:p>
    <w:p w14:paraId="02088ED1">
      <w:pPr>
        <w:spacing w:line="580" w:lineRule="exact"/>
        <w:ind w:firstLine="600" w:firstLineChars="200"/>
        <w:outlineLvl w:val="0"/>
        <w:rPr>
          <w:rFonts w:eastAsia="黑体"/>
          <w:kern w:val="44"/>
          <w:sz w:val="30"/>
          <w:szCs w:val="30"/>
        </w:rPr>
      </w:pPr>
      <w:r>
        <w:rPr>
          <w:rFonts w:eastAsia="黑体"/>
          <w:kern w:val="44"/>
          <w:sz w:val="30"/>
          <w:szCs w:val="30"/>
        </w:rPr>
        <w:t>一、评审机构</w:t>
      </w:r>
    </w:p>
    <w:p w14:paraId="3BD403BF">
      <w:pPr>
        <w:spacing w:line="580" w:lineRule="exact"/>
        <w:ind w:firstLine="600" w:firstLineChars="200"/>
        <w:rPr>
          <w:rFonts w:eastAsia="仿宋_GB2312"/>
          <w:sz w:val="30"/>
          <w:szCs w:val="30"/>
        </w:rPr>
      </w:pPr>
      <w:r>
        <w:rPr>
          <w:rFonts w:eastAsia="仿宋_GB2312"/>
          <w:sz w:val="30"/>
          <w:szCs w:val="30"/>
        </w:rPr>
        <w:t>上海市工程系列新材料与能源专业中级职称评审委员会（以下简称“中评委”），负责本市新材料与能源专业工程师职称的评审工作。中评委下设新材料与能源、光科技、仪器仪表3个学科组。</w:t>
      </w:r>
    </w:p>
    <w:tbl>
      <w:tblPr>
        <w:tblStyle w:val="9"/>
        <w:tblW w:w="9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680"/>
        <w:gridCol w:w="6899"/>
      </w:tblGrid>
      <w:tr w14:paraId="79339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vAlign w:val="center"/>
          </w:tcPr>
          <w:p w14:paraId="06ED31B1">
            <w:pPr>
              <w:spacing w:line="580" w:lineRule="exact"/>
              <w:jc w:val="center"/>
              <w:rPr>
                <w:rFonts w:eastAsia="仿宋_GB2312"/>
                <w:b/>
                <w:sz w:val="30"/>
                <w:szCs w:val="30"/>
              </w:rPr>
            </w:pPr>
            <w:r>
              <w:rPr>
                <w:rFonts w:eastAsia="仿宋_GB2312"/>
                <w:b/>
                <w:sz w:val="30"/>
                <w:szCs w:val="30"/>
              </w:rPr>
              <w:t>序号</w:t>
            </w:r>
          </w:p>
        </w:tc>
        <w:tc>
          <w:tcPr>
            <w:tcW w:w="1680" w:type="dxa"/>
            <w:vAlign w:val="center"/>
          </w:tcPr>
          <w:p w14:paraId="264B978A">
            <w:pPr>
              <w:spacing w:line="580" w:lineRule="exact"/>
              <w:jc w:val="center"/>
              <w:rPr>
                <w:rFonts w:eastAsia="仿宋_GB2312"/>
                <w:b/>
                <w:sz w:val="30"/>
                <w:szCs w:val="30"/>
              </w:rPr>
            </w:pPr>
            <w:r>
              <w:rPr>
                <w:rFonts w:eastAsia="仿宋_GB2312"/>
                <w:b/>
                <w:sz w:val="30"/>
                <w:szCs w:val="30"/>
              </w:rPr>
              <w:t>学科组</w:t>
            </w:r>
          </w:p>
        </w:tc>
        <w:tc>
          <w:tcPr>
            <w:tcW w:w="6899" w:type="dxa"/>
            <w:vAlign w:val="center"/>
          </w:tcPr>
          <w:p w14:paraId="278F080F">
            <w:pPr>
              <w:spacing w:line="580" w:lineRule="exact"/>
              <w:jc w:val="center"/>
              <w:rPr>
                <w:rFonts w:eastAsia="仿宋_GB2312"/>
                <w:b/>
                <w:sz w:val="30"/>
                <w:szCs w:val="30"/>
              </w:rPr>
            </w:pPr>
            <w:r>
              <w:rPr>
                <w:rFonts w:eastAsia="仿宋_GB2312"/>
                <w:b/>
                <w:sz w:val="30"/>
                <w:szCs w:val="30"/>
              </w:rPr>
              <w:t>专业</w:t>
            </w:r>
          </w:p>
        </w:tc>
      </w:tr>
      <w:tr w14:paraId="4951B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vAlign w:val="center"/>
          </w:tcPr>
          <w:p w14:paraId="34295676">
            <w:pPr>
              <w:spacing w:line="580" w:lineRule="exact"/>
              <w:jc w:val="center"/>
              <w:rPr>
                <w:rFonts w:eastAsia="仿宋_GB2312"/>
                <w:sz w:val="30"/>
                <w:szCs w:val="30"/>
              </w:rPr>
            </w:pPr>
            <w:r>
              <w:rPr>
                <w:rFonts w:eastAsia="仿宋_GB2312"/>
                <w:sz w:val="30"/>
                <w:szCs w:val="30"/>
              </w:rPr>
              <w:t>1</w:t>
            </w:r>
          </w:p>
        </w:tc>
        <w:tc>
          <w:tcPr>
            <w:tcW w:w="1680" w:type="dxa"/>
            <w:vAlign w:val="center"/>
          </w:tcPr>
          <w:p w14:paraId="629EBCBD">
            <w:pPr>
              <w:spacing w:line="580" w:lineRule="exact"/>
              <w:jc w:val="center"/>
              <w:rPr>
                <w:rFonts w:eastAsia="仿宋_GB2312"/>
                <w:sz w:val="30"/>
                <w:szCs w:val="30"/>
              </w:rPr>
            </w:pPr>
            <w:r>
              <w:rPr>
                <w:rFonts w:eastAsia="仿宋_GB2312"/>
                <w:sz w:val="30"/>
                <w:szCs w:val="30"/>
              </w:rPr>
              <w:t>新材料与能源</w:t>
            </w:r>
          </w:p>
        </w:tc>
        <w:tc>
          <w:tcPr>
            <w:tcW w:w="6899" w:type="dxa"/>
            <w:vAlign w:val="center"/>
          </w:tcPr>
          <w:p w14:paraId="029D1D71">
            <w:pPr>
              <w:spacing w:line="580" w:lineRule="exact"/>
              <w:jc w:val="left"/>
              <w:rPr>
                <w:rFonts w:eastAsia="仿宋_GB2312"/>
                <w:sz w:val="30"/>
                <w:szCs w:val="30"/>
              </w:rPr>
            </w:pPr>
            <w:r>
              <w:rPr>
                <w:rFonts w:eastAsia="仿宋_GB2312"/>
                <w:sz w:val="30"/>
                <w:szCs w:val="30"/>
              </w:rPr>
              <w:t>金属和合成材料、无机非金属材料、有机合成材料、材料测试评价共性技术和能源技术研发与应用（常规能源技术、可再生能源技术、节能环保技术）</w:t>
            </w:r>
          </w:p>
        </w:tc>
      </w:tr>
      <w:tr w14:paraId="497D5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vAlign w:val="center"/>
          </w:tcPr>
          <w:p w14:paraId="668D9D67">
            <w:pPr>
              <w:spacing w:line="580" w:lineRule="exact"/>
              <w:jc w:val="center"/>
              <w:rPr>
                <w:rFonts w:eastAsia="仿宋_GB2312"/>
                <w:sz w:val="30"/>
                <w:szCs w:val="30"/>
              </w:rPr>
            </w:pPr>
            <w:r>
              <w:rPr>
                <w:rFonts w:eastAsia="仿宋_GB2312"/>
                <w:sz w:val="30"/>
                <w:szCs w:val="30"/>
              </w:rPr>
              <w:t>2</w:t>
            </w:r>
          </w:p>
        </w:tc>
        <w:tc>
          <w:tcPr>
            <w:tcW w:w="1680" w:type="dxa"/>
            <w:vAlign w:val="center"/>
          </w:tcPr>
          <w:p w14:paraId="061B7953">
            <w:pPr>
              <w:spacing w:line="580" w:lineRule="exact"/>
              <w:jc w:val="center"/>
              <w:rPr>
                <w:rFonts w:eastAsia="仿宋_GB2312"/>
                <w:sz w:val="30"/>
                <w:szCs w:val="30"/>
              </w:rPr>
            </w:pPr>
            <w:r>
              <w:rPr>
                <w:rFonts w:eastAsia="仿宋_GB2312"/>
                <w:sz w:val="30"/>
                <w:szCs w:val="30"/>
              </w:rPr>
              <w:t>光科技</w:t>
            </w:r>
          </w:p>
        </w:tc>
        <w:tc>
          <w:tcPr>
            <w:tcW w:w="6899" w:type="dxa"/>
            <w:vAlign w:val="center"/>
          </w:tcPr>
          <w:p w14:paraId="1DEA5419">
            <w:pPr>
              <w:spacing w:line="580" w:lineRule="exact"/>
              <w:jc w:val="left"/>
              <w:rPr>
                <w:rFonts w:eastAsia="仿宋_GB2312"/>
                <w:sz w:val="30"/>
                <w:szCs w:val="30"/>
              </w:rPr>
            </w:pPr>
            <w:r>
              <w:rPr>
                <w:rFonts w:eastAsia="仿宋_GB2312"/>
                <w:sz w:val="30"/>
                <w:szCs w:val="30"/>
              </w:rPr>
              <w:t>探测照明和能源、先进制造与分析测试、先进材料</w:t>
            </w:r>
          </w:p>
        </w:tc>
      </w:tr>
      <w:tr w14:paraId="4EB8D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vAlign w:val="center"/>
          </w:tcPr>
          <w:p w14:paraId="58876BE1">
            <w:pPr>
              <w:spacing w:line="580" w:lineRule="exact"/>
              <w:jc w:val="center"/>
              <w:rPr>
                <w:rFonts w:eastAsia="仿宋_GB2312"/>
                <w:sz w:val="30"/>
                <w:szCs w:val="30"/>
              </w:rPr>
            </w:pPr>
            <w:r>
              <w:rPr>
                <w:rFonts w:eastAsia="仿宋_GB2312"/>
                <w:sz w:val="30"/>
                <w:szCs w:val="30"/>
              </w:rPr>
              <w:t>3</w:t>
            </w:r>
          </w:p>
        </w:tc>
        <w:tc>
          <w:tcPr>
            <w:tcW w:w="1680" w:type="dxa"/>
            <w:vAlign w:val="center"/>
          </w:tcPr>
          <w:p w14:paraId="46CBB465">
            <w:pPr>
              <w:spacing w:line="580" w:lineRule="exact"/>
              <w:jc w:val="center"/>
              <w:rPr>
                <w:rFonts w:eastAsia="仿宋_GB2312"/>
                <w:sz w:val="30"/>
                <w:szCs w:val="30"/>
              </w:rPr>
            </w:pPr>
            <w:r>
              <w:rPr>
                <w:rFonts w:eastAsia="仿宋_GB2312"/>
                <w:sz w:val="30"/>
                <w:szCs w:val="30"/>
              </w:rPr>
              <w:t>仪器仪表</w:t>
            </w:r>
          </w:p>
        </w:tc>
        <w:tc>
          <w:tcPr>
            <w:tcW w:w="6899" w:type="dxa"/>
            <w:vAlign w:val="center"/>
          </w:tcPr>
          <w:p w14:paraId="44C4CE14">
            <w:pPr>
              <w:spacing w:line="580" w:lineRule="exact"/>
              <w:jc w:val="left"/>
              <w:rPr>
                <w:rFonts w:eastAsia="仿宋_GB2312"/>
                <w:sz w:val="30"/>
                <w:szCs w:val="30"/>
              </w:rPr>
            </w:pPr>
            <w:r>
              <w:rPr>
                <w:rFonts w:eastAsia="仿宋_GB2312"/>
                <w:sz w:val="30"/>
                <w:szCs w:val="30"/>
              </w:rPr>
              <w:t>仪器仪表、自动测控与智能制造技术（包括各类仪器仪表、科学仪器、智能精密检测仪器、分析仪器、电工仪器、测控系统及相关器件、部件、装置）</w:t>
            </w:r>
          </w:p>
        </w:tc>
      </w:tr>
    </w:tbl>
    <w:p w14:paraId="36D49724">
      <w:pPr>
        <w:spacing w:line="580" w:lineRule="exact"/>
        <w:ind w:firstLine="600" w:firstLineChars="200"/>
        <w:outlineLvl w:val="0"/>
        <w:rPr>
          <w:rFonts w:eastAsia="黑体"/>
          <w:kern w:val="44"/>
          <w:sz w:val="30"/>
          <w:szCs w:val="30"/>
        </w:rPr>
      </w:pPr>
      <w:bookmarkStart w:id="0" w:name="OLE_LINK3"/>
      <w:r>
        <w:rPr>
          <w:rFonts w:eastAsia="黑体"/>
          <w:kern w:val="44"/>
          <w:sz w:val="30"/>
          <w:szCs w:val="30"/>
        </w:rPr>
        <w:t>二、申报范围</w:t>
      </w:r>
    </w:p>
    <w:p w14:paraId="115F096F">
      <w:pPr>
        <w:spacing w:line="580" w:lineRule="exact"/>
        <w:ind w:firstLine="600"/>
        <w:rPr>
          <w:rFonts w:eastAsia="方正楷体_GB2312"/>
          <w:b/>
          <w:bCs/>
          <w:sz w:val="30"/>
          <w:szCs w:val="30"/>
        </w:rPr>
      </w:pPr>
      <w:r>
        <w:rPr>
          <w:rFonts w:eastAsia="方正楷体_GB2312"/>
          <w:b/>
          <w:bCs/>
          <w:sz w:val="30"/>
          <w:szCs w:val="30"/>
        </w:rPr>
        <w:t>（一）在本市企事业单位和社会组织相应专业技术岗位上工作的在职专业技术人员，至申报截止当日符合以下条件之一：</w:t>
      </w:r>
    </w:p>
    <w:p w14:paraId="2BD50610">
      <w:pPr>
        <w:spacing w:line="580" w:lineRule="exact"/>
        <w:ind w:firstLine="600" w:firstLineChars="200"/>
        <w:rPr>
          <w:rFonts w:eastAsia="仿宋_GB2312"/>
          <w:sz w:val="30"/>
          <w:szCs w:val="30"/>
        </w:rPr>
      </w:pPr>
      <w:r>
        <w:rPr>
          <w:rFonts w:eastAsia="仿宋_GB2312"/>
          <w:sz w:val="30"/>
          <w:szCs w:val="30"/>
        </w:rPr>
        <w:t>1.具有本市户籍。</w:t>
      </w:r>
    </w:p>
    <w:p w14:paraId="54165F10">
      <w:pPr>
        <w:spacing w:line="580" w:lineRule="exact"/>
        <w:ind w:firstLine="600" w:firstLineChars="200"/>
        <w:rPr>
          <w:rFonts w:eastAsia="仿宋_GB2312"/>
          <w:sz w:val="30"/>
          <w:szCs w:val="30"/>
        </w:rPr>
      </w:pPr>
      <w:r>
        <w:rPr>
          <w:rFonts w:eastAsia="仿宋_GB2312"/>
          <w:sz w:val="30"/>
          <w:szCs w:val="30"/>
        </w:rPr>
        <w:t>2.持有有效期内的《上海市居住证》。</w:t>
      </w:r>
    </w:p>
    <w:p w14:paraId="6B31F679">
      <w:pPr>
        <w:spacing w:line="580" w:lineRule="exact"/>
        <w:ind w:firstLine="600" w:firstLineChars="200"/>
        <w:rPr>
          <w:rFonts w:eastAsia="仿宋_GB2312"/>
          <w:sz w:val="30"/>
          <w:szCs w:val="30"/>
        </w:rPr>
      </w:pPr>
      <w:r>
        <w:rPr>
          <w:rFonts w:eastAsia="仿宋_GB2312"/>
          <w:sz w:val="30"/>
          <w:szCs w:val="30"/>
        </w:rPr>
        <w:t>3.近2年内在本市累计缴纳社会保险满12个月。</w:t>
      </w:r>
    </w:p>
    <w:p w14:paraId="168A4986">
      <w:pPr>
        <w:spacing w:line="580" w:lineRule="exact"/>
        <w:ind w:firstLine="600"/>
        <w:rPr>
          <w:rFonts w:eastAsia="方正楷体_GB2312"/>
          <w:b/>
          <w:bCs/>
          <w:sz w:val="30"/>
          <w:szCs w:val="30"/>
        </w:rPr>
      </w:pPr>
      <w:r>
        <w:rPr>
          <w:rFonts w:eastAsia="方正楷体_GB2312"/>
          <w:b/>
          <w:bCs/>
          <w:sz w:val="30"/>
          <w:szCs w:val="30"/>
        </w:rPr>
        <w:t>（二）下列情况不在申报范围内：</w:t>
      </w:r>
    </w:p>
    <w:p w14:paraId="15503D41">
      <w:pPr>
        <w:spacing w:line="580" w:lineRule="exact"/>
        <w:ind w:firstLine="600" w:firstLineChars="200"/>
        <w:rPr>
          <w:rFonts w:eastAsia="仿宋_GB2312"/>
          <w:sz w:val="30"/>
          <w:szCs w:val="30"/>
        </w:rPr>
      </w:pPr>
      <w:r>
        <w:rPr>
          <w:rFonts w:eastAsia="仿宋_GB2312"/>
          <w:sz w:val="30"/>
          <w:szCs w:val="30"/>
        </w:rPr>
        <w:t>1.已办理退休或当年度即将办理退休的（按国家规定办理延长退休手续的除外,</w:t>
      </w:r>
      <w:r>
        <w:rPr>
          <w:rFonts w:eastAsia="仿宋_GB2312"/>
          <w:color w:val="333333"/>
          <w:sz w:val="30"/>
          <w:szCs w:val="30"/>
        </w:rPr>
        <w:t>申报时需提供延长退休审批表</w:t>
      </w:r>
      <w:r>
        <w:rPr>
          <w:rFonts w:eastAsia="仿宋_GB2312"/>
          <w:sz w:val="30"/>
          <w:szCs w:val="30"/>
        </w:rPr>
        <w:t>或个人与单位协商一致签订的协议书）。</w:t>
      </w:r>
    </w:p>
    <w:p w14:paraId="46FEDC9F">
      <w:pPr>
        <w:spacing w:line="580" w:lineRule="exact"/>
        <w:ind w:firstLine="600" w:firstLineChars="200"/>
        <w:rPr>
          <w:rFonts w:eastAsia="仿宋_GB2312"/>
          <w:sz w:val="30"/>
          <w:szCs w:val="30"/>
        </w:rPr>
      </w:pPr>
      <w:r>
        <w:rPr>
          <w:rFonts w:eastAsia="仿宋_GB2312"/>
          <w:sz w:val="30"/>
          <w:szCs w:val="30"/>
        </w:rPr>
        <w:t>2.上一年度参加本市职称评审未通过的（当年度有重大业绩的除外）。</w:t>
      </w:r>
    </w:p>
    <w:p w14:paraId="1FE78A74">
      <w:pPr>
        <w:spacing w:line="580" w:lineRule="exact"/>
        <w:ind w:firstLine="600" w:firstLineChars="200"/>
        <w:rPr>
          <w:rFonts w:eastAsia="仿宋_GB2312"/>
          <w:sz w:val="30"/>
          <w:szCs w:val="30"/>
        </w:rPr>
      </w:pPr>
      <w:r>
        <w:rPr>
          <w:rFonts w:eastAsia="仿宋_GB2312"/>
          <w:sz w:val="30"/>
          <w:szCs w:val="30"/>
        </w:rPr>
        <w:t>3.国有企事业单位在所属系统有相关主系列（专业）评委会的（应从本系统评委会申报）。</w:t>
      </w:r>
    </w:p>
    <w:p w14:paraId="5FFAED42">
      <w:pPr>
        <w:spacing w:line="580" w:lineRule="exact"/>
        <w:ind w:firstLine="600" w:firstLineChars="200"/>
        <w:rPr>
          <w:rFonts w:eastAsia="黑体"/>
          <w:kern w:val="44"/>
          <w:sz w:val="30"/>
          <w:szCs w:val="30"/>
        </w:rPr>
      </w:pPr>
      <w:r>
        <w:rPr>
          <w:rFonts w:eastAsia="黑体"/>
          <w:kern w:val="44"/>
          <w:sz w:val="30"/>
          <w:szCs w:val="30"/>
        </w:rPr>
        <w:t>三、申报条件</w:t>
      </w:r>
    </w:p>
    <w:p w14:paraId="44B40541">
      <w:pPr>
        <w:spacing w:line="580" w:lineRule="exact"/>
        <w:ind w:firstLine="602" w:firstLineChars="200"/>
        <w:rPr>
          <w:rFonts w:eastAsia="方正楷体_GB2312"/>
          <w:b/>
          <w:bCs/>
          <w:sz w:val="30"/>
          <w:szCs w:val="30"/>
        </w:rPr>
      </w:pPr>
      <w:r>
        <w:rPr>
          <w:rFonts w:eastAsia="方正楷体_GB2312"/>
          <w:b/>
          <w:bCs/>
          <w:sz w:val="30"/>
          <w:szCs w:val="30"/>
        </w:rPr>
        <w:t>（一）基本条件</w:t>
      </w:r>
    </w:p>
    <w:p w14:paraId="4D92F96D">
      <w:pPr>
        <w:spacing w:line="580" w:lineRule="exact"/>
        <w:ind w:firstLine="600" w:firstLineChars="200"/>
        <w:rPr>
          <w:rFonts w:eastAsia="仿宋_GB2312"/>
          <w:sz w:val="30"/>
          <w:szCs w:val="30"/>
        </w:rPr>
      </w:pPr>
      <w:r>
        <w:rPr>
          <w:rFonts w:eastAsia="仿宋_GB2312"/>
          <w:sz w:val="30"/>
          <w:szCs w:val="30"/>
        </w:rPr>
        <w:t>遵守宪法和国家法律、法规，恪守职业道德，具有良好的职业操守和敬业精神，热爱本职工作。</w:t>
      </w:r>
    </w:p>
    <w:p w14:paraId="50F171AE">
      <w:pPr>
        <w:spacing w:line="580" w:lineRule="exact"/>
        <w:ind w:firstLine="602" w:firstLineChars="200"/>
        <w:rPr>
          <w:rFonts w:eastAsia="方正楷体_GB2312"/>
          <w:b/>
          <w:bCs/>
          <w:sz w:val="30"/>
          <w:szCs w:val="30"/>
        </w:rPr>
      </w:pPr>
      <w:r>
        <w:rPr>
          <w:rFonts w:eastAsia="方正楷体_GB2312"/>
          <w:b/>
          <w:bCs/>
          <w:sz w:val="30"/>
          <w:szCs w:val="30"/>
        </w:rPr>
        <w:t>（二）学历、资历要求</w:t>
      </w:r>
    </w:p>
    <w:p w14:paraId="26D85784">
      <w:pPr>
        <w:spacing w:line="580" w:lineRule="exact"/>
        <w:ind w:firstLine="600" w:firstLineChars="200"/>
        <w:rPr>
          <w:rFonts w:eastAsia="仿宋_GB2312"/>
          <w:sz w:val="30"/>
          <w:szCs w:val="30"/>
        </w:rPr>
      </w:pPr>
      <w:r>
        <w:rPr>
          <w:rFonts w:eastAsia="仿宋_GB2312"/>
          <w:sz w:val="30"/>
          <w:szCs w:val="30"/>
        </w:rPr>
        <w:t>1.具有理工类相关专业博士研究生学历或博士学位。</w:t>
      </w:r>
    </w:p>
    <w:p w14:paraId="411FF1F6">
      <w:pPr>
        <w:spacing w:line="580" w:lineRule="exact"/>
        <w:ind w:firstLine="600" w:firstLineChars="200"/>
        <w:rPr>
          <w:rFonts w:eastAsia="仿宋_GB2312"/>
          <w:sz w:val="30"/>
          <w:szCs w:val="30"/>
        </w:rPr>
      </w:pPr>
      <w:r>
        <w:rPr>
          <w:rFonts w:eastAsia="仿宋_GB2312"/>
          <w:sz w:val="30"/>
          <w:szCs w:val="30"/>
        </w:rPr>
        <w:t>2.具有理工类相关专业硕士研究生学历或硕士学位，聘任助理工程师职称满2年。</w:t>
      </w:r>
    </w:p>
    <w:p w14:paraId="259DD06F">
      <w:pPr>
        <w:spacing w:line="580" w:lineRule="exact"/>
        <w:ind w:firstLine="600" w:firstLineChars="200"/>
        <w:rPr>
          <w:rFonts w:eastAsia="仿宋_GB2312"/>
          <w:sz w:val="30"/>
          <w:szCs w:val="30"/>
        </w:rPr>
      </w:pPr>
      <w:r>
        <w:rPr>
          <w:rFonts w:eastAsia="仿宋_GB2312"/>
          <w:sz w:val="30"/>
          <w:szCs w:val="30"/>
        </w:rPr>
        <w:t>3.具有理工类相关专业大学专科、大学本科学历或学士学位，聘任助理工程师职称满4年。</w:t>
      </w:r>
    </w:p>
    <w:p w14:paraId="2CF8195B">
      <w:pPr>
        <w:spacing w:line="580" w:lineRule="exact"/>
        <w:ind w:firstLine="600" w:firstLineChars="200"/>
        <w:rPr>
          <w:rFonts w:eastAsia="仿宋_GB2312"/>
          <w:sz w:val="30"/>
          <w:szCs w:val="30"/>
        </w:rPr>
      </w:pPr>
      <w:r>
        <w:rPr>
          <w:rFonts w:eastAsia="仿宋_GB2312"/>
          <w:sz w:val="30"/>
          <w:szCs w:val="30"/>
        </w:rPr>
        <w:t>4.对于先评聘助理工程师职称，后取得相关专业在职大专及以上学历的人员，在取得在职学历后从事工程技术工作满</w:t>
      </w:r>
      <w:r>
        <w:rPr>
          <w:rFonts w:hint="eastAsia" w:eastAsia="仿宋_GB2312"/>
          <w:sz w:val="30"/>
          <w:szCs w:val="30"/>
        </w:rPr>
        <w:t>1</w:t>
      </w:r>
      <w:r>
        <w:rPr>
          <w:rFonts w:eastAsia="仿宋_GB2312"/>
          <w:sz w:val="30"/>
          <w:szCs w:val="30"/>
        </w:rPr>
        <w:t>年方可按在职学历计算资历年限。</w:t>
      </w:r>
    </w:p>
    <w:p w14:paraId="0144B2C7">
      <w:pPr>
        <w:spacing w:line="580" w:lineRule="exact"/>
        <w:ind w:firstLine="600" w:firstLineChars="200"/>
        <w:rPr>
          <w:rFonts w:eastAsia="仿宋_GB2312"/>
          <w:sz w:val="30"/>
          <w:szCs w:val="30"/>
        </w:rPr>
      </w:pPr>
      <w:r>
        <w:rPr>
          <w:rFonts w:eastAsia="仿宋_GB2312"/>
          <w:sz w:val="30"/>
          <w:szCs w:val="30"/>
        </w:rPr>
        <w:t>5.任职资历自按规定聘任助理工程师职称起算，计算到2025年6月30日。本市事业单位人员，需提交单位出具的聘任文件，或提供由上海市人力资源和社会保障局统一印制的《专业技术职务聘任表》以示证明（可到上海市人力资源和社会保障局网站</w:t>
      </w:r>
      <w:r>
        <w:rPr>
          <w:rFonts w:hint="eastAsia" w:ascii="仿宋_GB2312" w:hAnsi="仿宋_GB2312" w:eastAsia="仿宋_GB2312" w:cs="仿宋_GB2312"/>
          <w:sz w:val="30"/>
          <w:szCs w:val="30"/>
        </w:rPr>
        <w:t>https://rsj.sh.gov.cn</w:t>
      </w:r>
      <w:r>
        <w:rPr>
          <w:rFonts w:eastAsia="仿宋_GB2312"/>
          <w:sz w:val="30"/>
          <w:szCs w:val="30"/>
        </w:rPr>
        <w:t>→便民服务→表格下载→人事人才下载）。</w:t>
      </w:r>
      <w:r>
        <w:rPr>
          <w:rFonts w:eastAsia="仿宋_GB2312"/>
          <w:color w:val="333333"/>
          <w:sz w:val="30"/>
          <w:szCs w:val="30"/>
        </w:rPr>
        <w:t>非公企业人员如满足资历年限要求，可根据实际情况提供聘任的相关证明材料。</w:t>
      </w:r>
    </w:p>
    <w:p w14:paraId="349B0FC0">
      <w:pPr>
        <w:spacing w:line="580" w:lineRule="exact"/>
        <w:ind w:firstLine="600" w:firstLineChars="200"/>
        <w:rPr>
          <w:rFonts w:eastAsia="仿宋_GB2312"/>
          <w:sz w:val="30"/>
          <w:szCs w:val="30"/>
        </w:rPr>
      </w:pPr>
      <w:r>
        <w:rPr>
          <w:rFonts w:eastAsia="仿宋_GB2312"/>
          <w:sz w:val="30"/>
          <w:szCs w:val="30"/>
        </w:rPr>
        <w:t>6.对从高技能岗位转到专业技术岗位人员，按沪人社专〔2021〕312号文件规定执行。</w:t>
      </w:r>
    </w:p>
    <w:p w14:paraId="5809A6EF">
      <w:pPr>
        <w:spacing w:line="580" w:lineRule="exact"/>
        <w:ind w:firstLine="600" w:firstLineChars="200"/>
        <w:rPr>
          <w:rFonts w:eastAsia="仿宋_GB2312"/>
          <w:sz w:val="30"/>
          <w:szCs w:val="30"/>
        </w:rPr>
      </w:pPr>
      <w:r>
        <w:rPr>
          <w:rFonts w:eastAsia="仿宋_GB2312"/>
          <w:sz w:val="30"/>
          <w:szCs w:val="30"/>
        </w:rPr>
        <w:t>7.非就业状态、在行政管理或工勤等岗位工作的经历不能作为专业技术工作经历。在计算时，因专业技术岗位变动、待岗待聘、长病假、参加全日制教育等不在本专业技术岗位工作的时间需相应扣除。</w:t>
      </w:r>
    </w:p>
    <w:p w14:paraId="3EF72C7B">
      <w:pPr>
        <w:spacing w:line="580" w:lineRule="exact"/>
        <w:ind w:firstLine="602" w:firstLineChars="200"/>
        <w:rPr>
          <w:rFonts w:eastAsia="方正楷体_GB2312"/>
          <w:b/>
          <w:bCs/>
          <w:sz w:val="30"/>
          <w:szCs w:val="30"/>
        </w:rPr>
      </w:pPr>
      <w:r>
        <w:rPr>
          <w:rFonts w:eastAsia="方正楷体_GB2312"/>
          <w:b/>
          <w:bCs/>
          <w:sz w:val="30"/>
          <w:szCs w:val="30"/>
        </w:rPr>
        <w:t>（三）专业能力要求</w:t>
      </w:r>
    </w:p>
    <w:p w14:paraId="4147AC8E">
      <w:pPr>
        <w:spacing w:line="580" w:lineRule="exact"/>
        <w:ind w:firstLine="600" w:firstLineChars="200"/>
        <w:rPr>
          <w:rFonts w:eastAsia="仿宋_GB2312"/>
          <w:sz w:val="30"/>
          <w:szCs w:val="30"/>
        </w:rPr>
      </w:pPr>
      <w:r>
        <w:rPr>
          <w:rFonts w:eastAsia="仿宋_GB2312"/>
          <w:sz w:val="30"/>
          <w:szCs w:val="30"/>
        </w:rPr>
        <w:t>申报工程师职称，需具备以下能力：</w:t>
      </w:r>
    </w:p>
    <w:p w14:paraId="606345EE">
      <w:pPr>
        <w:spacing w:line="580" w:lineRule="exact"/>
        <w:ind w:firstLine="600" w:firstLineChars="200"/>
        <w:rPr>
          <w:rFonts w:eastAsia="仿宋_GB2312"/>
          <w:sz w:val="30"/>
          <w:szCs w:val="30"/>
        </w:rPr>
      </w:pPr>
      <w:r>
        <w:rPr>
          <w:rFonts w:eastAsia="仿宋_GB2312"/>
          <w:sz w:val="30"/>
          <w:szCs w:val="30"/>
        </w:rPr>
        <w:t>1.熟练掌握并能够灵活运用本专业基础理论知识和专业技术知识，熟悉本专业技术标准和规程，了解本专业新技术、新工艺、新设备、新材料的现状和发展趋势，取得有实用价值的技术成果。</w:t>
      </w:r>
    </w:p>
    <w:p w14:paraId="0071C296">
      <w:pPr>
        <w:spacing w:line="580" w:lineRule="exact"/>
        <w:ind w:firstLine="600" w:firstLineChars="200"/>
        <w:rPr>
          <w:rFonts w:eastAsia="仿宋_GB2312"/>
          <w:sz w:val="30"/>
          <w:szCs w:val="30"/>
        </w:rPr>
      </w:pPr>
      <w:r>
        <w:rPr>
          <w:rFonts w:eastAsia="仿宋_GB2312"/>
          <w:sz w:val="30"/>
          <w:szCs w:val="30"/>
        </w:rPr>
        <w:t>2.具有独立承担较复杂工程项目的工作能力，能解决本专业范围内较复杂的工程问题。</w:t>
      </w:r>
    </w:p>
    <w:p w14:paraId="2C88396C">
      <w:pPr>
        <w:spacing w:line="580" w:lineRule="exact"/>
        <w:ind w:firstLine="600" w:firstLineChars="200"/>
        <w:rPr>
          <w:rFonts w:eastAsia="仿宋_GB2312"/>
          <w:sz w:val="30"/>
          <w:szCs w:val="30"/>
        </w:rPr>
      </w:pPr>
      <w:r>
        <w:rPr>
          <w:rFonts w:eastAsia="仿宋_GB2312"/>
          <w:sz w:val="30"/>
          <w:szCs w:val="30"/>
        </w:rPr>
        <w:t>3.具有一定的技术研究能力，能够撰写为解决复杂技术问题的研究成果或技术报告。</w:t>
      </w:r>
    </w:p>
    <w:p w14:paraId="6E96E0C8">
      <w:pPr>
        <w:spacing w:line="580" w:lineRule="exact"/>
        <w:ind w:firstLine="600" w:firstLineChars="200"/>
        <w:rPr>
          <w:rFonts w:eastAsia="仿宋_GB2312"/>
          <w:sz w:val="30"/>
          <w:szCs w:val="30"/>
        </w:rPr>
      </w:pPr>
      <w:r>
        <w:rPr>
          <w:rFonts w:eastAsia="仿宋_GB2312"/>
          <w:sz w:val="30"/>
          <w:szCs w:val="30"/>
        </w:rPr>
        <w:t>4.具有指导助理工程师工作的能力。</w:t>
      </w:r>
    </w:p>
    <w:p w14:paraId="2CEB35ED">
      <w:pPr>
        <w:spacing w:line="580" w:lineRule="exact"/>
        <w:ind w:firstLine="602" w:firstLineChars="200"/>
        <w:rPr>
          <w:rFonts w:eastAsia="方正楷体_GB2312"/>
          <w:b/>
          <w:bCs/>
          <w:sz w:val="30"/>
          <w:szCs w:val="30"/>
        </w:rPr>
      </w:pPr>
      <w:r>
        <w:rPr>
          <w:rFonts w:eastAsia="方正楷体_GB2312"/>
          <w:b/>
          <w:bCs/>
          <w:sz w:val="30"/>
          <w:szCs w:val="30"/>
        </w:rPr>
        <w:t>（四）学术成果要求</w:t>
      </w:r>
    </w:p>
    <w:p w14:paraId="78C9FC1E">
      <w:pPr>
        <w:spacing w:line="580" w:lineRule="exact"/>
        <w:ind w:firstLine="600" w:firstLineChars="200"/>
        <w:rPr>
          <w:rFonts w:eastAsia="仿宋_GB2312"/>
          <w:sz w:val="30"/>
          <w:szCs w:val="30"/>
        </w:rPr>
      </w:pPr>
      <w:r>
        <w:rPr>
          <w:rFonts w:eastAsia="仿宋_GB2312"/>
          <w:sz w:val="30"/>
          <w:szCs w:val="30"/>
        </w:rPr>
        <w:t>申报工程师职称，近五年内学术成果需满足以下之一：</w:t>
      </w:r>
    </w:p>
    <w:p w14:paraId="727B137F">
      <w:pPr>
        <w:spacing w:line="580" w:lineRule="exact"/>
        <w:ind w:firstLine="600" w:firstLineChars="200"/>
        <w:rPr>
          <w:rFonts w:eastAsia="仿宋_GB2312"/>
          <w:sz w:val="30"/>
          <w:szCs w:val="30"/>
        </w:rPr>
      </w:pPr>
      <w:r>
        <w:rPr>
          <w:rFonts w:eastAsia="仿宋_GB2312"/>
          <w:sz w:val="30"/>
          <w:szCs w:val="30"/>
        </w:rPr>
        <w:t>1.独立或作为第一作者（通讯作者）公开发表1篇与本人所从事专业工作密切相关的专业论文。</w:t>
      </w:r>
    </w:p>
    <w:p w14:paraId="10308390">
      <w:pPr>
        <w:spacing w:line="580" w:lineRule="exact"/>
        <w:ind w:firstLine="600" w:firstLineChars="200"/>
        <w:rPr>
          <w:rFonts w:eastAsia="仿宋_GB2312"/>
          <w:sz w:val="30"/>
          <w:szCs w:val="30"/>
        </w:rPr>
      </w:pPr>
      <w:r>
        <w:rPr>
          <w:rFonts w:eastAsia="仿宋_GB2312"/>
          <w:sz w:val="30"/>
          <w:szCs w:val="30"/>
        </w:rPr>
        <w:t>2.独立撰写由本人承担的科研项目、生产项目或工程设计项目的技术工作总结1篇。</w:t>
      </w:r>
    </w:p>
    <w:p w14:paraId="6C9B0F44">
      <w:pPr>
        <w:spacing w:line="580" w:lineRule="exact"/>
        <w:ind w:firstLine="602" w:firstLineChars="200"/>
        <w:rPr>
          <w:rFonts w:eastAsia="仿宋_GB2312"/>
          <w:b/>
          <w:sz w:val="30"/>
          <w:szCs w:val="30"/>
        </w:rPr>
      </w:pPr>
      <w:r>
        <w:rPr>
          <w:rFonts w:eastAsia="仿宋_GB2312"/>
          <w:b/>
          <w:sz w:val="30"/>
          <w:szCs w:val="30"/>
        </w:rPr>
        <w:t>论文要求:</w:t>
      </w:r>
    </w:p>
    <w:p w14:paraId="73C463D9">
      <w:pPr>
        <w:spacing w:line="580" w:lineRule="exact"/>
        <w:ind w:firstLine="600" w:firstLineChars="200"/>
        <w:rPr>
          <w:rFonts w:eastAsia="仿宋_GB2312"/>
          <w:sz w:val="30"/>
          <w:szCs w:val="30"/>
        </w:rPr>
      </w:pPr>
      <w:r>
        <w:rPr>
          <w:rFonts w:eastAsia="仿宋_GB2312"/>
          <w:sz w:val="30"/>
          <w:szCs w:val="30"/>
        </w:rPr>
        <w:t>（1）全日制高校学生在校期间发表的论文及学位论文，在职学习的学历、学位论文不能作为职称申报论文。</w:t>
      </w:r>
    </w:p>
    <w:p w14:paraId="35C464F1">
      <w:pPr>
        <w:autoSpaceDE w:val="0"/>
        <w:spacing w:line="580" w:lineRule="exact"/>
        <w:ind w:firstLine="600" w:firstLineChars="200"/>
        <w:rPr>
          <w:rFonts w:eastAsia="仿宋_GB2312"/>
          <w:sz w:val="30"/>
          <w:szCs w:val="30"/>
        </w:rPr>
      </w:pPr>
      <w:r>
        <w:rPr>
          <w:rFonts w:eastAsia="仿宋_GB2312"/>
          <w:sz w:val="30"/>
          <w:szCs w:val="30"/>
        </w:rPr>
        <w:t>（2）申报人提交多篇论文，须明确一篇作为“主送论文”，字数一般3000字左右。若以外文发表的论文作为主送的需提交全文翻译，不作为主送的可翻译概要。</w:t>
      </w:r>
    </w:p>
    <w:p w14:paraId="6E66D8DD">
      <w:pPr>
        <w:spacing w:line="580" w:lineRule="exact"/>
        <w:ind w:firstLine="602" w:firstLineChars="200"/>
        <w:rPr>
          <w:rFonts w:eastAsia="仿宋_GB2312"/>
          <w:b/>
          <w:sz w:val="30"/>
          <w:szCs w:val="30"/>
        </w:rPr>
      </w:pPr>
      <w:r>
        <w:rPr>
          <w:rFonts w:eastAsia="仿宋_GB2312"/>
          <w:b/>
          <w:sz w:val="30"/>
          <w:szCs w:val="30"/>
        </w:rPr>
        <w:t>项目技术总结要求：</w:t>
      </w:r>
    </w:p>
    <w:p w14:paraId="6D7029BF">
      <w:pPr>
        <w:widowControl/>
        <w:spacing w:line="580" w:lineRule="exact"/>
        <w:ind w:firstLine="600" w:firstLineChars="200"/>
        <w:rPr>
          <w:rFonts w:eastAsia="仿宋_GB2312"/>
          <w:sz w:val="30"/>
          <w:szCs w:val="30"/>
        </w:rPr>
      </w:pPr>
      <w:r>
        <w:rPr>
          <w:rFonts w:eastAsia="仿宋_GB2312"/>
          <w:sz w:val="30"/>
          <w:szCs w:val="30"/>
        </w:rPr>
        <w:t>（1）每篇项目技术总结只能以申报人完成的其中1个项目来撰写，并且该项目信息及佐证材料需在申报系统中“项目/课题情况”栏里填写并上传。</w:t>
      </w:r>
    </w:p>
    <w:p w14:paraId="5DCE43D2">
      <w:pPr>
        <w:spacing w:line="580" w:lineRule="exact"/>
        <w:ind w:firstLine="600" w:firstLineChars="200"/>
        <w:rPr>
          <w:rFonts w:eastAsia="仿宋_GB2312"/>
          <w:sz w:val="30"/>
          <w:szCs w:val="30"/>
        </w:rPr>
      </w:pPr>
      <w:r>
        <w:rPr>
          <w:rFonts w:eastAsia="仿宋_GB2312"/>
          <w:sz w:val="30"/>
          <w:szCs w:val="30"/>
        </w:rPr>
        <w:t>（2）提交的个人项目技术总结须简要阐明项目水平，明确说明本人的专业理论水平、专业技术能力、在项目中的作用贡献以及解决的技术难题，字数一般3000字左右。</w:t>
      </w:r>
    </w:p>
    <w:p w14:paraId="1939F9D1">
      <w:pPr>
        <w:spacing w:line="580" w:lineRule="exact"/>
        <w:ind w:firstLine="600" w:firstLineChars="200"/>
        <w:rPr>
          <w:rFonts w:eastAsia="仿宋_GB2312"/>
          <w:sz w:val="30"/>
          <w:szCs w:val="30"/>
        </w:rPr>
      </w:pPr>
      <w:r>
        <w:rPr>
          <w:rFonts w:eastAsia="仿宋_GB2312"/>
          <w:sz w:val="30"/>
          <w:szCs w:val="30"/>
        </w:rPr>
        <w:t>（3）项目（工程）设计说明书、产品说明书，可行性研究、立项申请、结题报告以及项目技术报告、测试报告，产品标准，专利申请报告等不可作为申报的项目技术总结。</w:t>
      </w:r>
    </w:p>
    <w:p w14:paraId="19D7CB9B">
      <w:pPr>
        <w:spacing w:line="580" w:lineRule="exact"/>
        <w:ind w:firstLine="602" w:firstLineChars="200"/>
        <w:rPr>
          <w:rFonts w:eastAsia="方正楷体_GB2312"/>
          <w:b/>
          <w:bCs/>
          <w:sz w:val="30"/>
          <w:szCs w:val="30"/>
        </w:rPr>
      </w:pPr>
      <w:r>
        <w:rPr>
          <w:rFonts w:eastAsia="方正楷体_GB2312"/>
          <w:b/>
          <w:bCs/>
          <w:sz w:val="30"/>
          <w:szCs w:val="30"/>
        </w:rPr>
        <w:t>（五）继续教育要求</w:t>
      </w:r>
    </w:p>
    <w:p w14:paraId="7AD636CA">
      <w:pPr>
        <w:adjustRightInd w:val="0"/>
        <w:snapToGrid w:val="0"/>
        <w:spacing w:line="580" w:lineRule="exact"/>
        <w:ind w:firstLine="600" w:firstLineChars="200"/>
        <w:rPr>
          <w:rFonts w:eastAsia="仿宋_GB2312"/>
          <w:sz w:val="30"/>
          <w:szCs w:val="30"/>
        </w:rPr>
      </w:pPr>
      <w:r>
        <w:rPr>
          <w:rFonts w:eastAsia="仿宋_GB2312"/>
          <w:sz w:val="30"/>
          <w:szCs w:val="30"/>
        </w:rPr>
        <w:t>按照国家和本市相关文件要求，需完成公需、专业课程的学习。</w:t>
      </w:r>
    </w:p>
    <w:p w14:paraId="3262D27C">
      <w:pPr>
        <w:adjustRightInd w:val="0"/>
        <w:snapToGrid w:val="0"/>
        <w:spacing w:line="580" w:lineRule="exact"/>
        <w:ind w:firstLine="600" w:firstLineChars="200"/>
        <w:rPr>
          <w:rFonts w:eastAsia="仿宋_GB2312"/>
          <w:sz w:val="30"/>
          <w:szCs w:val="30"/>
        </w:rPr>
      </w:pPr>
      <w:r>
        <w:rPr>
          <w:rFonts w:eastAsia="仿宋_GB2312"/>
          <w:sz w:val="30"/>
          <w:szCs w:val="30"/>
        </w:rPr>
        <w:t>1.公需科目</w:t>
      </w:r>
      <w:r>
        <w:rPr>
          <w:rFonts w:hint="eastAsia" w:eastAsia="仿宋_GB2312"/>
          <w:sz w:val="30"/>
          <w:szCs w:val="30"/>
          <w:lang w:eastAsia="zh-CN"/>
        </w:rPr>
        <w:t>：</w:t>
      </w:r>
      <w:bookmarkStart w:id="1" w:name="_GoBack"/>
      <w:bookmarkEnd w:id="1"/>
      <w:r>
        <w:rPr>
          <w:rFonts w:eastAsia="仿宋_GB2312"/>
          <w:sz w:val="30"/>
          <w:szCs w:val="30"/>
        </w:rPr>
        <w:t>需累计完成90学时（2023年及之后的学时可计入）。2025年公需科目课程不再区分必修课程和选修课程，参加录播课程和直播课程学习均可取得公需科目学时，学员在“上海市专业技术人员继续教育网”（</w:t>
      </w:r>
      <w:r>
        <w:rPr>
          <w:rFonts w:hint="eastAsia" w:ascii="仿宋_GB2312" w:hAnsi="仿宋_GB2312" w:eastAsia="仿宋_GB2312" w:cs="仿宋_GB2312"/>
          <w:sz w:val="30"/>
          <w:szCs w:val="30"/>
        </w:rPr>
        <w:t>https://www.sacee.org.cn</w:t>
      </w:r>
      <w:r>
        <w:rPr>
          <w:rFonts w:eastAsia="仿宋_GB2312"/>
          <w:sz w:val="30"/>
          <w:szCs w:val="30"/>
        </w:rPr>
        <w:t>）所学学时可以合并计算。</w:t>
      </w:r>
    </w:p>
    <w:p w14:paraId="38A1C3CB">
      <w:pPr>
        <w:adjustRightInd w:val="0"/>
        <w:snapToGrid w:val="0"/>
        <w:spacing w:line="580" w:lineRule="exact"/>
        <w:ind w:firstLine="600" w:firstLineChars="200"/>
        <w:rPr>
          <w:rFonts w:eastAsia="仿宋_GB2312"/>
          <w:sz w:val="30"/>
          <w:szCs w:val="30"/>
        </w:rPr>
      </w:pPr>
      <w:r>
        <w:rPr>
          <w:rFonts w:eastAsia="仿宋_GB2312"/>
          <w:color w:val="333333"/>
          <w:sz w:val="30"/>
          <w:szCs w:val="30"/>
        </w:rPr>
        <w:t>公需科目课程安排和报名事宜，请登录“上海市专业技术人员继续教育公共服务平台”（</w:t>
      </w:r>
      <w:r>
        <w:rPr>
          <w:rFonts w:hint="eastAsia" w:ascii="仿宋_GB2312" w:hAnsi="仿宋_GB2312" w:eastAsia="仿宋_GB2312" w:cs="仿宋_GB2312"/>
          <w:color w:val="333333"/>
          <w:sz w:val="30"/>
          <w:szCs w:val="30"/>
        </w:rPr>
        <w:t>https://www.rsj.sh.gov.cn/jxjy/#/index</w:t>
      </w:r>
      <w:r>
        <w:rPr>
          <w:rFonts w:eastAsia="仿宋_GB2312"/>
          <w:color w:val="333333"/>
          <w:sz w:val="30"/>
          <w:szCs w:val="30"/>
        </w:rPr>
        <w:t>）查询《关于开展2025年上海市专业技术人员继续教育公需科目培训实施计划的通知》</w:t>
      </w:r>
      <w:r>
        <w:rPr>
          <w:rFonts w:eastAsia="仿宋_GB2312"/>
          <w:sz w:val="30"/>
          <w:szCs w:val="30"/>
        </w:rPr>
        <w:t>。</w:t>
      </w:r>
    </w:p>
    <w:p w14:paraId="565B09FC">
      <w:pPr>
        <w:adjustRightInd w:val="0"/>
        <w:snapToGrid w:val="0"/>
        <w:spacing w:line="580" w:lineRule="exact"/>
        <w:ind w:firstLine="600" w:firstLineChars="200"/>
        <w:rPr>
          <w:rFonts w:eastAsia="仿宋_GB2312"/>
          <w:sz w:val="30"/>
          <w:szCs w:val="30"/>
          <w:highlight w:val="none"/>
        </w:rPr>
      </w:pPr>
      <w:r>
        <w:rPr>
          <w:rFonts w:eastAsia="仿宋_GB2312"/>
          <w:sz w:val="30"/>
          <w:szCs w:val="30"/>
          <w:highlight w:val="none"/>
        </w:rPr>
        <w:t>2.专业科目：需累计完成90学时（202</w:t>
      </w:r>
      <w:r>
        <w:rPr>
          <w:rFonts w:hint="eastAsia" w:eastAsia="仿宋_GB2312"/>
          <w:sz w:val="30"/>
          <w:szCs w:val="30"/>
          <w:highlight w:val="none"/>
        </w:rPr>
        <w:t>1</w:t>
      </w:r>
      <w:r>
        <w:rPr>
          <w:rFonts w:eastAsia="仿宋_GB2312"/>
          <w:sz w:val="30"/>
          <w:szCs w:val="30"/>
          <w:highlight w:val="none"/>
        </w:rPr>
        <w:t>年及之后的学时可计入）。专业科目具体报名事宜</w:t>
      </w:r>
      <w:r>
        <w:rPr>
          <w:rFonts w:hint="eastAsia" w:eastAsia="仿宋_GB2312"/>
          <w:sz w:val="30"/>
          <w:szCs w:val="30"/>
          <w:highlight w:val="none"/>
          <w:lang w:eastAsia="zh-CN"/>
        </w:rPr>
        <w:t>，</w:t>
      </w:r>
      <w:r>
        <w:rPr>
          <w:rFonts w:eastAsia="仿宋_GB2312"/>
          <w:sz w:val="30"/>
          <w:szCs w:val="30"/>
          <w:highlight w:val="none"/>
        </w:rPr>
        <w:t>请</w:t>
      </w:r>
      <w:r>
        <w:rPr>
          <w:rFonts w:hint="eastAsia" w:eastAsia="仿宋_GB2312"/>
          <w:sz w:val="30"/>
          <w:szCs w:val="30"/>
          <w:highlight w:val="none"/>
          <w:lang w:val="en-US" w:eastAsia="zh-CN"/>
        </w:rPr>
        <w:t>查询</w:t>
      </w:r>
      <w:r>
        <w:rPr>
          <w:rFonts w:eastAsia="仿宋_GB2312"/>
          <w:sz w:val="30"/>
          <w:szCs w:val="30"/>
          <w:highlight w:val="none"/>
        </w:rPr>
        <w:t>“上海市专业技术人员继续教育公共服务平台”（</w:t>
      </w:r>
      <w:r>
        <w:rPr>
          <w:rFonts w:hint="eastAsia" w:ascii="仿宋_GB2312" w:hAnsi="仿宋_GB2312" w:eastAsia="仿宋_GB2312" w:cs="仿宋_GB2312"/>
          <w:sz w:val="30"/>
          <w:szCs w:val="30"/>
          <w:highlight w:val="none"/>
        </w:rPr>
        <w:t>https://www.rsj.sh.gov.cn/jxjy/#/index</w:t>
      </w:r>
      <w:r>
        <w:rPr>
          <w:rFonts w:eastAsia="仿宋_GB2312"/>
          <w:sz w:val="30"/>
          <w:szCs w:val="30"/>
          <w:highlight w:val="none"/>
        </w:rPr>
        <w:t>）。专业技术人才知识更新项目培训（高级研修班、急需紧缺培训班等）相应学时可作为专业课学时。</w:t>
      </w:r>
    </w:p>
    <w:bookmarkEnd w:id="0"/>
    <w:p w14:paraId="0B3F729D">
      <w:pPr>
        <w:spacing w:line="580" w:lineRule="exact"/>
        <w:ind w:firstLine="602" w:firstLineChars="200"/>
        <w:rPr>
          <w:rFonts w:eastAsia="方正楷体_GB2312"/>
          <w:b/>
          <w:bCs/>
          <w:sz w:val="30"/>
          <w:szCs w:val="30"/>
        </w:rPr>
      </w:pPr>
      <w:r>
        <w:rPr>
          <w:rFonts w:eastAsia="方正楷体_GB2312"/>
          <w:b/>
          <w:bCs/>
          <w:sz w:val="30"/>
          <w:szCs w:val="30"/>
        </w:rPr>
        <w:t>（六）其他事项</w:t>
      </w:r>
    </w:p>
    <w:p w14:paraId="414EB31E">
      <w:pPr>
        <w:spacing w:line="580" w:lineRule="exact"/>
        <w:ind w:firstLine="600" w:firstLineChars="200"/>
        <w:rPr>
          <w:rFonts w:eastAsia="仿宋_GB2312"/>
          <w:sz w:val="30"/>
          <w:szCs w:val="30"/>
        </w:rPr>
      </w:pPr>
      <w:r>
        <w:rPr>
          <w:rFonts w:eastAsia="仿宋_GB2312"/>
          <w:sz w:val="30"/>
          <w:szCs w:val="30"/>
        </w:rPr>
        <w:t>1.对于不具备规定学历、资历及上一年度评审未通过的专业技术人员，如确有真才实学，成绩显著，贡献突出的，经单位推荐，并经相关程序审核后，可破格申报。</w:t>
      </w:r>
    </w:p>
    <w:p w14:paraId="21CFAFC2">
      <w:pPr>
        <w:spacing w:line="580" w:lineRule="exact"/>
        <w:ind w:firstLine="600" w:firstLineChars="200"/>
        <w:rPr>
          <w:rFonts w:eastAsia="仿宋_GB2312"/>
          <w:sz w:val="30"/>
          <w:szCs w:val="30"/>
        </w:rPr>
      </w:pPr>
      <w:r>
        <w:rPr>
          <w:rFonts w:eastAsia="仿宋_GB2312"/>
          <w:sz w:val="30"/>
          <w:szCs w:val="30"/>
        </w:rPr>
        <w:t>2.事业单位人员按照本单位专业技术岗位设置情况实行缺额申报，缺额申报的情况由单位人事部门填写在《中级职称评审申报表》（申报系统生成）“单位意见”栏内，并由市级行业主管部门或区人力资源社会保障部门核实盖章。</w:t>
      </w:r>
    </w:p>
    <w:p w14:paraId="059EE760">
      <w:pPr>
        <w:spacing w:line="580" w:lineRule="exact"/>
        <w:ind w:firstLine="600" w:firstLineChars="200"/>
        <w:rPr>
          <w:rFonts w:hint="default" w:eastAsia="仿宋_GB2312"/>
          <w:sz w:val="30"/>
          <w:szCs w:val="30"/>
          <w:lang w:val="en-US" w:eastAsia="zh-CN"/>
        </w:rPr>
      </w:pPr>
      <w:r>
        <w:rPr>
          <w:rFonts w:hint="eastAsia" w:eastAsia="仿宋_GB2312"/>
          <w:sz w:val="30"/>
          <w:szCs w:val="30"/>
          <w:lang w:val="en-US" w:eastAsia="zh-CN"/>
        </w:rPr>
        <w:t>3.原则上，同一单位从事相同岗位的申报人员应在同一评委会申报。</w:t>
      </w:r>
    </w:p>
    <w:p w14:paraId="3DD9F422">
      <w:pPr>
        <w:spacing w:line="580" w:lineRule="exact"/>
        <w:ind w:firstLine="600" w:firstLineChars="200"/>
        <w:rPr>
          <w:rFonts w:eastAsia="仿宋_GB2312"/>
          <w:sz w:val="30"/>
          <w:szCs w:val="30"/>
        </w:rPr>
      </w:pPr>
      <w:r>
        <w:rPr>
          <w:rFonts w:hint="eastAsia" w:eastAsia="仿宋_GB2312"/>
          <w:sz w:val="30"/>
          <w:szCs w:val="30"/>
          <w:lang w:val="en-US" w:eastAsia="zh-CN"/>
        </w:rPr>
        <w:t>4</w:t>
      </w:r>
      <w:r>
        <w:rPr>
          <w:rFonts w:eastAsia="仿宋_GB2312"/>
          <w:sz w:val="30"/>
          <w:szCs w:val="30"/>
        </w:rPr>
        <w:t>.中央在沪单位非主系列（专业）专业技术人才确需委托本市评审的，由具有相应职称评审权限的主管单位人事部门出具委托评审函，并经市人力资源社会保障局同意后方可申报。</w:t>
      </w:r>
    </w:p>
    <w:p w14:paraId="07CEBA49">
      <w:pPr>
        <w:spacing w:line="580" w:lineRule="exact"/>
        <w:ind w:firstLine="600" w:firstLineChars="200"/>
        <w:rPr>
          <w:rFonts w:eastAsia="仿宋_GB2312"/>
          <w:sz w:val="30"/>
          <w:szCs w:val="30"/>
        </w:rPr>
      </w:pPr>
      <w:r>
        <w:rPr>
          <w:rFonts w:hint="eastAsia" w:eastAsia="仿宋_GB2312"/>
          <w:sz w:val="30"/>
          <w:szCs w:val="30"/>
          <w:lang w:val="en-US" w:eastAsia="zh-CN"/>
        </w:rPr>
        <w:t>5</w:t>
      </w:r>
      <w:r>
        <w:rPr>
          <w:rFonts w:eastAsia="仿宋_GB2312"/>
          <w:sz w:val="30"/>
          <w:szCs w:val="30"/>
        </w:rPr>
        <w:t>.申报人所在单位须对本单位申报人职称申报情况进行不少于5个工作日的公示，公示情况由单位人事部门填写在《中级职称评审申报表》（申报系统生成）“单位意见”栏内，注明公示期并核实盖章。</w:t>
      </w:r>
    </w:p>
    <w:p w14:paraId="3D968CAB">
      <w:pPr>
        <w:spacing w:line="580" w:lineRule="exact"/>
        <w:ind w:firstLine="600" w:firstLineChars="200"/>
        <w:outlineLvl w:val="0"/>
        <w:rPr>
          <w:rFonts w:eastAsia="黑体"/>
          <w:kern w:val="44"/>
          <w:sz w:val="30"/>
          <w:szCs w:val="30"/>
        </w:rPr>
      </w:pPr>
      <w:r>
        <w:rPr>
          <w:rFonts w:eastAsia="黑体"/>
          <w:kern w:val="44"/>
          <w:sz w:val="30"/>
          <w:szCs w:val="30"/>
        </w:rPr>
        <w:t>四、申报评审程序</w:t>
      </w:r>
    </w:p>
    <w:p w14:paraId="3BF16A17">
      <w:pPr>
        <w:pStyle w:val="3"/>
        <w:spacing w:line="580" w:lineRule="exact"/>
        <w:ind w:firstLine="602" w:firstLineChars="200"/>
        <w:jc w:val="both"/>
        <w:rPr>
          <w:rFonts w:ascii="Times New Roman" w:hAnsi="Times New Roman" w:eastAsia="仿宋_GB2312" w:cs="Times New Roman"/>
          <w:kern w:val="2"/>
          <w:sz w:val="30"/>
          <w:szCs w:val="30"/>
          <w:lang w:eastAsia="zh-CN" w:bidi="ar-SA"/>
        </w:rPr>
      </w:pPr>
      <w:r>
        <w:rPr>
          <w:rFonts w:ascii="Times New Roman" w:hAnsi="Times New Roman" w:eastAsia="方正楷体_GB2312" w:cs="Times New Roman"/>
          <w:b/>
          <w:bCs/>
          <w:sz w:val="30"/>
          <w:szCs w:val="30"/>
          <w:lang w:eastAsia="zh-CN"/>
        </w:rPr>
        <w:t>（一）网上申报</w:t>
      </w:r>
    </w:p>
    <w:p w14:paraId="37E291F1">
      <w:pPr>
        <w:ind w:firstLine="567" w:firstLineChars="189"/>
        <w:rPr>
          <w:rFonts w:eastAsia="仿宋_GB2312"/>
          <w:sz w:val="30"/>
          <w:szCs w:val="30"/>
        </w:rPr>
      </w:pPr>
      <w:r>
        <w:rPr>
          <w:rFonts w:eastAsia="仿宋_GB2312"/>
          <w:sz w:val="30"/>
          <w:szCs w:val="30"/>
        </w:rPr>
        <w:t>申报人登录“上海人力资源社会保障局官网-政务公开-职称专家-上海市职称服务系统”进行网上申报，首次登录需通过“随申办市民云”APP完成用户信息注册。凡要求提供的附件材料均应上传至系统。申报材料填写和附件上传完成后，经检查无误，点击生成并打印《中级职称评审申报表》。</w:t>
      </w:r>
    </w:p>
    <w:p w14:paraId="6B740336">
      <w:pPr>
        <w:ind w:firstLine="569" w:firstLineChars="189"/>
        <w:rPr>
          <w:rFonts w:eastAsia="仿宋_GB2312"/>
          <w:sz w:val="30"/>
          <w:szCs w:val="30"/>
        </w:rPr>
      </w:pPr>
      <w:r>
        <w:rPr>
          <w:rFonts w:eastAsia="方正楷体_GB2312"/>
          <w:b/>
          <w:bCs/>
          <w:sz w:val="30"/>
          <w:szCs w:val="30"/>
          <w:shd w:val="clear" w:color="auto" w:fill="FFFFFF"/>
        </w:rPr>
        <w:t>（二）材料初审</w:t>
      </w:r>
    </w:p>
    <w:p w14:paraId="0179310D">
      <w:pPr>
        <w:spacing w:line="580" w:lineRule="exact"/>
        <w:ind w:firstLine="600" w:firstLineChars="200"/>
        <w:rPr>
          <w:rFonts w:eastAsia="仿宋_GB2312"/>
          <w:sz w:val="30"/>
          <w:szCs w:val="30"/>
        </w:rPr>
      </w:pPr>
      <w:r>
        <w:rPr>
          <w:rFonts w:eastAsia="仿宋_GB2312"/>
          <w:sz w:val="30"/>
          <w:szCs w:val="30"/>
        </w:rPr>
        <w:t>中评委对网上申报材料进行初审，对有异议的材料退回修改，请申报人密切关注系统信息。</w:t>
      </w:r>
    </w:p>
    <w:p w14:paraId="4423E065">
      <w:pPr>
        <w:widowControl/>
        <w:shd w:val="clear" w:color="auto" w:fill="FFFFFF"/>
        <w:adjustRightInd w:val="0"/>
        <w:snapToGrid w:val="0"/>
        <w:spacing w:line="580" w:lineRule="exact"/>
        <w:ind w:firstLine="602" w:firstLineChars="200"/>
        <w:rPr>
          <w:rFonts w:eastAsia="方正楷体_GB2312"/>
          <w:b/>
          <w:bCs/>
          <w:sz w:val="30"/>
          <w:szCs w:val="30"/>
        </w:rPr>
      </w:pPr>
      <w:r>
        <w:rPr>
          <w:rFonts w:eastAsia="方正楷体_GB2312"/>
          <w:b/>
          <w:bCs/>
          <w:sz w:val="30"/>
          <w:szCs w:val="30"/>
          <w:shd w:val="clear" w:color="auto" w:fill="FFFFFF"/>
        </w:rPr>
        <w:t>（三）材料报送</w:t>
      </w:r>
    </w:p>
    <w:p w14:paraId="0D928A17">
      <w:pPr>
        <w:spacing w:line="580" w:lineRule="exact"/>
        <w:ind w:firstLine="600" w:firstLineChars="200"/>
        <w:rPr>
          <w:rFonts w:eastAsia="仿宋_GB2312"/>
          <w:sz w:val="30"/>
          <w:szCs w:val="30"/>
        </w:rPr>
      </w:pPr>
      <w:r>
        <w:rPr>
          <w:rFonts w:eastAsia="仿宋_GB2312"/>
          <w:sz w:val="30"/>
          <w:szCs w:val="30"/>
        </w:rPr>
        <w:t>网上申报材料经初审通过后，中评委分配受理号并短信通知递交书面材料。</w:t>
      </w:r>
    </w:p>
    <w:p w14:paraId="0B38A47E">
      <w:pPr>
        <w:widowControl/>
        <w:shd w:val="clear" w:color="auto" w:fill="FFFFFF"/>
        <w:adjustRightInd w:val="0"/>
        <w:snapToGrid w:val="0"/>
        <w:spacing w:line="580" w:lineRule="exact"/>
        <w:ind w:firstLine="602" w:firstLineChars="200"/>
        <w:rPr>
          <w:rFonts w:eastAsia="方正楷体_GB2312"/>
          <w:b/>
          <w:bCs/>
          <w:sz w:val="30"/>
          <w:szCs w:val="30"/>
        </w:rPr>
      </w:pPr>
      <w:r>
        <w:rPr>
          <w:rFonts w:eastAsia="方正楷体_GB2312"/>
          <w:b/>
          <w:bCs/>
          <w:sz w:val="30"/>
          <w:szCs w:val="30"/>
          <w:shd w:val="clear" w:color="auto" w:fill="FFFFFF"/>
        </w:rPr>
        <w:t>（四）面试答辩</w:t>
      </w:r>
    </w:p>
    <w:p w14:paraId="1362EF49">
      <w:pPr>
        <w:widowControl/>
        <w:shd w:val="clear" w:color="auto" w:fill="FFFFFF"/>
        <w:adjustRightInd w:val="0"/>
        <w:snapToGrid w:val="0"/>
        <w:spacing w:line="580" w:lineRule="exact"/>
        <w:ind w:firstLine="600" w:firstLineChars="200"/>
        <w:rPr>
          <w:rFonts w:eastAsia="仿宋_GB2312"/>
          <w:sz w:val="30"/>
          <w:szCs w:val="30"/>
          <w:shd w:val="clear" w:color="auto" w:fill="FFFFFF"/>
        </w:rPr>
      </w:pPr>
      <w:r>
        <w:rPr>
          <w:rFonts w:eastAsia="仿宋_GB2312"/>
          <w:sz w:val="30"/>
          <w:szCs w:val="30"/>
        </w:rPr>
        <w:t>中评委组织召开职称评审会议，</w:t>
      </w:r>
      <w:r>
        <w:rPr>
          <w:rFonts w:eastAsia="仿宋_GB2312"/>
          <w:sz w:val="30"/>
          <w:szCs w:val="30"/>
          <w:shd w:val="clear" w:color="auto" w:fill="FFFFFF"/>
        </w:rPr>
        <w:t>随机抽取部分人员进行面试答辩，答辩日期及相关事项另行通知，未按规定时间无故缺席答辩，视为当年评审不通过。</w:t>
      </w:r>
    </w:p>
    <w:p w14:paraId="1779C66A">
      <w:pPr>
        <w:widowControl/>
        <w:shd w:val="clear" w:color="auto" w:fill="FFFFFF"/>
        <w:adjustRightInd w:val="0"/>
        <w:snapToGrid w:val="0"/>
        <w:spacing w:line="580" w:lineRule="exact"/>
        <w:ind w:firstLine="602" w:firstLineChars="200"/>
        <w:rPr>
          <w:rFonts w:eastAsia="仿宋_GB2312"/>
          <w:sz w:val="30"/>
          <w:szCs w:val="30"/>
          <w:shd w:val="clear" w:color="auto" w:fill="FFFFFF"/>
        </w:rPr>
      </w:pPr>
      <w:r>
        <w:rPr>
          <w:rFonts w:eastAsia="方正楷体_GB2312"/>
          <w:b/>
          <w:bCs/>
          <w:sz w:val="30"/>
          <w:szCs w:val="30"/>
          <w:shd w:val="clear" w:color="auto" w:fill="FFFFFF"/>
        </w:rPr>
        <w:t>（五）公示发证</w:t>
      </w:r>
    </w:p>
    <w:p w14:paraId="5365ABFA">
      <w:pPr>
        <w:spacing w:line="580" w:lineRule="exact"/>
        <w:ind w:firstLine="600" w:firstLineChars="200"/>
        <w:rPr>
          <w:rFonts w:eastAsia="仿宋_GB2312"/>
          <w:sz w:val="30"/>
          <w:szCs w:val="30"/>
        </w:rPr>
      </w:pPr>
      <w:r>
        <w:rPr>
          <w:rFonts w:eastAsia="仿宋_GB2312"/>
          <w:sz w:val="30"/>
          <w:szCs w:val="30"/>
        </w:rPr>
        <w:t>评审会产生的评审结果在</w:t>
      </w:r>
      <w:r>
        <w:rPr>
          <w:rFonts w:eastAsia="仿宋_GB2312"/>
          <w:sz w:val="30"/>
          <w:szCs w:val="30"/>
          <w:shd w:val="clear" w:color="auto" w:fill="FFFFFF"/>
        </w:rPr>
        <w:t>“上海市职称服务系统”</w:t>
      </w:r>
      <w:r>
        <w:rPr>
          <w:rFonts w:eastAsia="仿宋_GB2312"/>
          <w:sz w:val="30"/>
          <w:szCs w:val="30"/>
        </w:rPr>
        <w:t>公示5个工作日。公示无异议后，由上海市科学技术委员会</w:t>
      </w:r>
      <w:r>
        <w:rPr>
          <w:rFonts w:eastAsia="仿宋_GB2312"/>
          <w:sz w:val="30"/>
          <w:szCs w:val="30"/>
          <w:shd w:val="clear" w:color="auto" w:fill="FFFFFF"/>
        </w:rPr>
        <w:t>颁发中级职称电</w:t>
      </w:r>
      <w:r>
        <w:rPr>
          <w:rFonts w:eastAsia="仿宋_GB2312"/>
          <w:sz w:val="30"/>
          <w:szCs w:val="30"/>
        </w:rPr>
        <w:t>子证书。</w:t>
      </w:r>
    </w:p>
    <w:p w14:paraId="1EB39A99">
      <w:pPr>
        <w:spacing w:line="580" w:lineRule="exact"/>
        <w:ind w:firstLine="600" w:firstLineChars="200"/>
        <w:outlineLvl w:val="0"/>
        <w:rPr>
          <w:rFonts w:eastAsia="黑体"/>
          <w:kern w:val="44"/>
          <w:sz w:val="30"/>
          <w:szCs w:val="30"/>
        </w:rPr>
      </w:pPr>
      <w:r>
        <w:rPr>
          <w:rFonts w:eastAsia="黑体"/>
          <w:kern w:val="44"/>
          <w:sz w:val="30"/>
          <w:szCs w:val="30"/>
        </w:rPr>
        <w:t>五、网上申报注意事项</w:t>
      </w:r>
    </w:p>
    <w:p w14:paraId="2BE5DBA0">
      <w:pPr>
        <w:spacing w:line="580" w:lineRule="exact"/>
        <w:ind w:firstLine="600" w:firstLineChars="200"/>
        <w:rPr>
          <w:rFonts w:eastAsia="仿宋_GB2312"/>
          <w:sz w:val="30"/>
          <w:szCs w:val="30"/>
        </w:rPr>
      </w:pPr>
      <w:r>
        <w:rPr>
          <w:rFonts w:eastAsia="仿宋_GB2312"/>
          <w:sz w:val="30"/>
          <w:szCs w:val="30"/>
        </w:rPr>
        <w:t>1.“基本信息”栏：除必填项外，其他栏目也应填写完整，若空缺，评审时将视此项为“无”。</w:t>
      </w:r>
    </w:p>
    <w:p w14:paraId="40C48148">
      <w:pPr>
        <w:spacing w:line="580" w:lineRule="exact"/>
        <w:ind w:firstLine="600" w:firstLineChars="200"/>
        <w:rPr>
          <w:rFonts w:eastAsia="仿宋_GB2312"/>
          <w:sz w:val="30"/>
          <w:szCs w:val="30"/>
        </w:rPr>
      </w:pPr>
      <w:r>
        <w:rPr>
          <w:rFonts w:eastAsia="仿宋_GB2312"/>
          <w:sz w:val="30"/>
          <w:szCs w:val="30"/>
        </w:rPr>
        <w:t>2.“学习经历”栏：从高中开始填起，若高中证书遗失，可在附件上传遗失说明（本人手写）。</w:t>
      </w:r>
    </w:p>
    <w:p w14:paraId="26147AA7">
      <w:pPr>
        <w:spacing w:line="580" w:lineRule="exact"/>
        <w:ind w:firstLine="600" w:firstLineChars="200"/>
        <w:rPr>
          <w:rFonts w:eastAsia="仿宋_GB2312"/>
          <w:sz w:val="30"/>
          <w:szCs w:val="30"/>
        </w:rPr>
      </w:pPr>
      <w:r>
        <w:rPr>
          <w:rFonts w:eastAsia="仿宋_GB2312"/>
          <w:sz w:val="30"/>
          <w:szCs w:val="30"/>
        </w:rPr>
        <w:t>3.“工作业绩”栏：在文本框内填写，如超过字数限制，可在附件栏上传电子文档。</w:t>
      </w:r>
    </w:p>
    <w:p w14:paraId="0B9DA710">
      <w:pPr>
        <w:spacing w:line="580" w:lineRule="exact"/>
        <w:ind w:firstLine="600" w:firstLineChars="200"/>
        <w:rPr>
          <w:rFonts w:eastAsia="仿宋_GB2312"/>
          <w:sz w:val="30"/>
          <w:szCs w:val="30"/>
        </w:rPr>
      </w:pPr>
      <w:r>
        <w:rPr>
          <w:rFonts w:eastAsia="仿宋_GB2312"/>
          <w:sz w:val="30"/>
          <w:szCs w:val="30"/>
        </w:rPr>
        <w:t>4.“项目/课题情况”栏：不可为空，填写的项目或课题需已经完成并与工作业绩描写相符合，填写的项目或课题需在附件栏上传项目证明，证明材料一般是立项任务书、合同、验收报告、获奖证书等佐证材料。项目论证结论填写时应与验收报告结论相一致，并提供相应证明材料，不得随意填写“国际先进”、“国内领先”等主观结论。选择验收通过的项目需上传验收证明。</w:t>
      </w:r>
    </w:p>
    <w:p w14:paraId="5FEA8BD7">
      <w:pPr>
        <w:spacing w:line="580" w:lineRule="exact"/>
        <w:ind w:firstLine="600" w:firstLineChars="200"/>
        <w:rPr>
          <w:rFonts w:eastAsia="仿宋_GB2312"/>
          <w:sz w:val="30"/>
          <w:szCs w:val="30"/>
        </w:rPr>
      </w:pPr>
      <w:r>
        <w:rPr>
          <w:rFonts w:eastAsia="仿宋_GB2312"/>
          <w:sz w:val="30"/>
          <w:szCs w:val="30"/>
        </w:rPr>
        <w:t>5.“专利/课题”栏：仅上传专利，填写的专利须是已授权的专利并上传授权证书，处于受理或公示阶段的专利都不作为评审依据，若填写一律退回。</w:t>
      </w:r>
    </w:p>
    <w:p w14:paraId="2EF9F0FE">
      <w:pPr>
        <w:spacing w:line="580" w:lineRule="exact"/>
        <w:ind w:firstLine="600" w:firstLineChars="200"/>
        <w:rPr>
          <w:rFonts w:eastAsia="仿宋_GB2312"/>
          <w:sz w:val="30"/>
          <w:szCs w:val="30"/>
        </w:rPr>
      </w:pPr>
      <w:r>
        <w:rPr>
          <w:rFonts w:eastAsia="仿宋_GB2312"/>
          <w:sz w:val="30"/>
          <w:szCs w:val="30"/>
        </w:rPr>
        <w:t>6.“论文专著”栏：每篇论文或项目技术总结上传一个附件，论文附件包括期刊封面、目录页及全文，外语论文还需附上中文翻译</w:t>
      </w:r>
      <w:r>
        <w:rPr>
          <w:sz w:val="30"/>
          <w:szCs w:val="30"/>
        </w:rPr>
        <w:t>；</w:t>
      </w:r>
      <w:r>
        <w:rPr>
          <w:rFonts w:eastAsia="仿宋_GB2312"/>
          <w:sz w:val="30"/>
          <w:szCs w:val="30"/>
        </w:rPr>
        <w:t>项目技术总结附件包括完成该项目时所在单位盖章的项目技术总结内容和当月度查重报告（全文注释版本）。</w:t>
      </w:r>
    </w:p>
    <w:p w14:paraId="52A023BB">
      <w:pPr>
        <w:spacing w:line="580" w:lineRule="exact"/>
        <w:ind w:firstLine="600" w:firstLineChars="200"/>
        <w:rPr>
          <w:rFonts w:eastAsia="仿宋_GB2312"/>
          <w:sz w:val="30"/>
          <w:szCs w:val="30"/>
        </w:rPr>
      </w:pPr>
      <w:r>
        <w:rPr>
          <w:rFonts w:eastAsia="仿宋_GB2312"/>
          <w:sz w:val="30"/>
          <w:szCs w:val="30"/>
        </w:rPr>
        <w:t>7.“附件资料”栏，职称资格证书、继续教育学时证明、获奖证书等本《通知》要求上传的其他材料以及无明确上传栏的材料。</w:t>
      </w:r>
    </w:p>
    <w:p w14:paraId="4CAD241A">
      <w:pPr>
        <w:spacing w:line="580" w:lineRule="exact"/>
        <w:ind w:firstLine="600" w:firstLineChars="200"/>
        <w:rPr>
          <w:rFonts w:eastAsia="仿宋_GB2312"/>
          <w:sz w:val="30"/>
          <w:szCs w:val="30"/>
        </w:rPr>
      </w:pPr>
      <w:r>
        <w:rPr>
          <w:rFonts w:eastAsia="仿宋_GB2312"/>
          <w:sz w:val="30"/>
          <w:szCs w:val="30"/>
        </w:rPr>
        <w:t>所有附件均需彩色扫描上传。</w:t>
      </w:r>
    </w:p>
    <w:p w14:paraId="3AA27A67">
      <w:pPr>
        <w:spacing w:line="580" w:lineRule="exact"/>
        <w:ind w:firstLine="600" w:firstLineChars="200"/>
        <w:outlineLvl w:val="0"/>
        <w:rPr>
          <w:rFonts w:eastAsia="黑体"/>
          <w:kern w:val="44"/>
          <w:sz w:val="30"/>
          <w:szCs w:val="30"/>
        </w:rPr>
      </w:pPr>
      <w:r>
        <w:rPr>
          <w:rFonts w:eastAsia="黑体"/>
          <w:kern w:val="44"/>
          <w:sz w:val="30"/>
          <w:szCs w:val="30"/>
        </w:rPr>
        <w:t>六、申报材料要求</w:t>
      </w:r>
    </w:p>
    <w:p w14:paraId="258A69A3">
      <w:pPr>
        <w:spacing w:line="580" w:lineRule="exact"/>
        <w:ind w:firstLine="600" w:firstLineChars="200"/>
        <w:rPr>
          <w:rFonts w:eastAsia="仿宋_GB2312"/>
          <w:sz w:val="30"/>
          <w:szCs w:val="30"/>
        </w:rPr>
      </w:pPr>
      <w:r>
        <w:rPr>
          <w:rFonts w:eastAsia="仿宋_GB2312"/>
          <w:sz w:val="30"/>
          <w:szCs w:val="30"/>
        </w:rPr>
        <w:t>申报材料实行个人承诺制，如发现弄虚作假</w:t>
      </w:r>
      <w:r>
        <w:rPr>
          <w:rFonts w:eastAsia="仿宋_GB2312"/>
          <w:color w:val="333333"/>
          <w:sz w:val="30"/>
          <w:szCs w:val="30"/>
        </w:rPr>
        <w:t>，</w:t>
      </w:r>
      <w:r>
        <w:rPr>
          <w:rFonts w:eastAsia="仿宋_GB2312"/>
          <w:sz w:val="30"/>
          <w:szCs w:val="30"/>
        </w:rPr>
        <w:t>实行“一票否决”，</w:t>
      </w:r>
      <w:r>
        <w:rPr>
          <w:rFonts w:eastAsia="仿宋_GB2312"/>
          <w:color w:val="333333"/>
          <w:sz w:val="30"/>
          <w:szCs w:val="30"/>
        </w:rPr>
        <w:t>并记入诚信黑名单，</w:t>
      </w:r>
      <w:r>
        <w:rPr>
          <w:rFonts w:eastAsia="仿宋_GB2312"/>
          <w:sz w:val="30"/>
          <w:szCs w:val="30"/>
        </w:rPr>
        <w:t>且三年内不得申报。</w:t>
      </w:r>
    </w:p>
    <w:p w14:paraId="278B9008">
      <w:pPr>
        <w:spacing w:line="580" w:lineRule="exact"/>
        <w:ind w:firstLine="602" w:firstLineChars="200"/>
        <w:rPr>
          <w:sz w:val="30"/>
          <w:szCs w:val="30"/>
        </w:rPr>
      </w:pPr>
      <w:r>
        <w:rPr>
          <w:rFonts w:eastAsia="方正楷体_GB2312"/>
          <w:b/>
          <w:bCs/>
          <w:sz w:val="30"/>
          <w:szCs w:val="30"/>
        </w:rPr>
        <w:t>（一）申报材料要求</w:t>
      </w:r>
    </w:p>
    <w:p w14:paraId="562B56D4">
      <w:pPr>
        <w:spacing w:line="580" w:lineRule="exact"/>
        <w:ind w:firstLine="600" w:firstLineChars="200"/>
        <w:rPr>
          <w:rFonts w:eastAsia="仿宋_GB2312"/>
          <w:sz w:val="30"/>
          <w:szCs w:val="30"/>
        </w:rPr>
      </w:pPr>
      <w:r>
        <w:rPr>
          <w:rFonts w:eastAsia="仿宋_GB2312"/>
          <w:sz w:val="30"/>
          <w:szCs w:val="30"/>
        </w:rPr>
        <w:t>申报人按照《2025年度送审材料目录》（附件）要求准备申报材料，申报材料须经所在单位核实并加盖公章。</w:t>
      </w:r>
    </w:p>
    <w:p w14:paraId="6F586FA0">
      <w:pPr>
        <w:spacing w:line="580" w:lineRule="exact"/>
        <w:ind w:firstLine="602" w:firstLineChars="200"/>
        <w:rPr>
          <w:rFonts w:eastAsia="方正楷体_GB2312"/>
          <w:b/>
          <w:bCs/>
          <w:sz w:val="30"/>
          <w:szCs w:val="30"/>
        </w:rPr>
      </w:pPr>
      <w:r>
        <w:rPr>
          <w:rFonts w:eastAsia="方正楷体_GB2312"/>
          <w:b/>
          <w:bCs/>
          <w:sz w:val="30"/>
          <w:szCs w:val="30"/>
        </w:rPr>
        <w:t>（二）需原件核实的材料</w:t>
      </w:r>
    </w:p>
    <w:p w14:paraId="61337096">
      <w:pPr>
        <w:spacing w:line="580" w:lineRule="exact"/>
        <w:ind w:firstLine="600" w:firstLineChars="200"/>
        <w:rPr>
          <w:rFonts w:eastAsia="仿宋_GB2312"/>
          <w:sz w:val="30"/>
          <w:szCs w:val="30"/>
        </w:rPr>
      </w:pPr>
      <w:r>
        <w:rPr>
          <w:rFonts w:eastAsia="仿宋_GB2312"/>
          <w:sz w:val="30"/>
          <w:szCs w:val="30"/>
        </w:rPr>
        <w:t>1.身份证、学历学位证书（海外学历证书及2002年前所获得的国内学历证书）、专业技术职称证书、其他相关书面证明材料原件。</w:t>
      </w:r>
    </w:p>
    <w:p w14:paraId="02E9690E">
      <w:pPr>
        <w:spacing w:line="580" w:lineRule="exact"/>
        <w:ind w:firstLine="300" w:firstLineChars="100"/>
        <w:rPr>
          <w:rFonts w:eastAsia="仿宋_GB2312"/>
          <w:sz w:val="30"/>
          <w:szCs w:val="30"/>
        </w:rPr>
      </w:pPr>
      <w:r>
        <w:rPr>
          <w:rFonts w:eastAsia="仿宋_GB2312"/>
          <w:sz w:val="30"/>
          <w:szCs w:val="30"/>
        </w:rPr>
        <w:t>　2.论文或著作出版刊物原件。</w:t>
      </w:r>
    </w:p>
    <w:p w14:paraId="11D8FC62">
      <w:pPr>
        <w:spacing w:line="580" w:lineRule="exact"/>
        <w:ind w:firstLine="300" w:firstLineChars="100"/>
        <w:rPr>
          <w:rFonts w:eastAsia="仿宋_GB2312"/>
          <w:sz w:val="30"/>
          <w:szCs w:val="30"/>
        </w:rPr>
      </w:pPr>
      <w:r>
        <w:rPr>
          <w:rFonts w:eastAsia="仿宋_GB2312"/>
          <w:sz w:val="30"/>
          <w:szCs w:val="30"/>
        </w:rPr>
        <w:t>　3.外省市专业技术人员申报职称，还须提供下列材料原件：有效期内的《上海市居住证》或近两年的个人社会保险缴费记录，在外省市单位工作期间从事的专业技术工作经历及业绩须提供该单位出具的证明。</w:t>
      </w:r>
    </w:p>
    <w:p w14:paraId="27E13F83">
      <w:pPr>
        <w:spacing w:line="580" w:lineRule="exact"/>
        <w:ind w:firstLine="600" w:firstLineChars="200"/>
        <w:rPr>
          <w:rFonts w:eastAsia="仿宋_GB2312"/>
          <w:sz w:val="30"/>
          <w:szCs w:val="30"/>
        </w:rPr>
      </w:pPr>
      <w:r>
        <w:rPr>
          <w:rFonts w:eastAsia="仿宋_GB2312"/>
          <w:sz w:val="30"/>
          <w:szCs w:val="30"/>
        </w:rPr>
        <w:t xml:space="preserve">原件当场查验后，交还给申报人。 </w:t>
      </w:r>
    </w:p>
    <w:p w14:paraId="2C76D2F4">
      <w:pPr>
        <w:spacing w:line="580" w:lineRule="exact"/>
        <w:ind w:firstLine="600" w:firstLineChars="200"/>
        <w:outlineLvl w:val="0"/>
        <w:rPr>
          <w:rFonts w:eastAsia="黑体"/>
          <w:kern w:val="44"/>
          <w:sz w:val="30"/>
          <w:szCs w:val="30"/>
        </w:rPr>
      </w:pPr>
      <w:r>
        <w:rPr>
          <w:rFonts w:eastAsia="黑体"/>
          <w:kern w:val="44"/>
          <w:sz w:val="30"/>
          <w:szCs w:val="30"/>
        </w:rPr>
        <w:t>七、申报时间、地点</w:t>
      </w:r>
    </w:p>
    <w:p w14:paraId="6C7A8C72">
      <w:pPr>
        <w:spacing w:line="580" w:lineRule="exact"/>
        <w:ind w:firstLine="602" w:firstLineChars="200"/>
        <w:rPr>
          <w:rFonts w:eastAsia="方正楷体_GB2312"/>
          <w:b/>
          <w:bCs/>
          <w:sz w:val="30"/>
          <w:szCs w:val="30"/>
        </w:rPr>
      </w:pPr>
      <w:r>
        <w:rPr>
          <w:rFonts w:eastAsia="方正楷体_GB2312"/>
          <w:b/>
          <w:bCs/>
          <w:sz w:val="30"/>
          <w:szCs w:val="30"/>
        </w:rPr>
        <w:t>1.申报时间安排</w:t>
      </w:r>
    </w:p>
    <w:p w14:paraId="45ED102B">
      <w:pPr>
        <w:spacing w:line="580" w:lineRule="exact"/>
        <w:ind w:firstLine="600" w:firstLineChars="200"/>
        <w:rPr>
          <w:rFonts w:eastAsia="仿宋_GB2312"/>
          <w:sz w:val="30"/>
          <w:szCs w:val="30"/>
        </w:rPr>
      </w:pPr>
      <w:r>
        <w:rPr>
          <w:rFonts w:eastAsia="仿宋_GB2312"/>
          <w:sz w:val="30"/>
          <w:szCs w:val="30"/>
        </w:rPr>
        <w:t>（1）自评审通知发布之日起接受电话咨询。</w:t>
      </w:r>
    </w:p>
    <w:p w14:paraId="0004D1DA">
      <w:pPr>
        <w:spacing w:line="580" w:lineRule="exact"/>
        <w:ind w:firstLine="600" w:firstLineChars="200"/>
        <w:rPr>
          <w:rFonts w:eastAsia="仿宋_GB2312"/>
          <w:sz w:val="30"/>
          <w:szCs w:val="30"/>
        </w:rPr>
      </w:pPr>
      <w:r>
        <w:rPr>
          <w:rFonts w:eastAsia="仿宋_GB2312"/>
          <w:sz w:val="30"/>
          <w:szCs w:val="30"/>
        </w:rPr>
        <w:t>（2）网上申报时间：2025年6月15日至7月15日。7月15日前申报人须在“随申办市民云”注册并在“上海市职称申报系统”中成功提交过一次申报材料，逾时无法申报。</w:t>
      </w:r>
      <w:r>
        <w:rPr>
          <w:rFonts w:hint="eastAsia" w:eastAsia="仿宋_GB2312"/>
          <w:sz w:val="30"/>
          <w:szCs w:val="30"/>
        </w:rPr>
        <w:t>对于因申报人材料不全、经评委会驳回未在规定时限内完成修改的，评委会办公室不再审核受理。</w:t>
      </w:r>
    </w:p>
    <w:p w14:paraId="28A53FDF">
      <w:pPr>
        <w:spacing w:line="580" w:lineRule="exact"/>
        <w:ind w:firstLine="600" w:firstLineChars="200"/>
        <w:rPr>
          <w:rFonts w:eastAsia="仿宋_GB2312"/>
          <w:sz w:val="30"/>
          <w:szCs w:val="30"/>
        </w:rPr>
      </w:pPr>
      <w:r>
        <w:rPr>
          <w:rFonts w:eastAsia="仿宋_GB2312"/>
          <w:sz w:val="30"/>
          <w:szCs w:val="30"/>
        </w:rPr>
        <w:t>（3）书面材料递交时间：另行通知（网上材料审核通过后由评委会短信通知）</w:t>
      </w:r>
    </w:p>
    <w:p w14:paraId="10032EF7">
      <w:pPr>
        <w:spacing w:line="580" w:lineRule="exact"/>
        <w:ind w:firstLine="602" w:firstLineChars="200"/>
        <w:rPr>
          <w:rFonts w:eastAsia="方正楷体_GB2312"/>
          <w:b/>
          <w:bCs/>
          <w:sz w:val="30"/>
          <w:szCs w:val="30"/>
        </w:rPr>
      </w:pPr>
      <w:r>
        <w:rPr>
          <w:rFonts w:eastAsia="方正楷体_GB2312"/>
          <w:b/>
          <w:bCs/>
          <w:sz w:val="30"/>
          <w:szCs w:val="30"/>
        </w:rPr>
        <w:t>2.书面材料报送地点</w:t>
      </w:r>
    </w:p>
    <w:p w14:paraId="43B208E6">
      <w:pPr>
        <w:pStyle w:val="8"/>
        <w:spacing w:before="0" w:beforeAutospacing="0" w:after="0" w:afterAutospacing="0" w:line="580" w:lineRule="exact"/>
        <w:ind w:firstLine="600" w:firstLineChars="200"/>
        <w:jc w:val="both"/>
        <w:rPr>
          <w:rFonts w:ascii="Times New Roman" w:hAnsi="Times New Roman" w:eastAsia="仿宋_GB2312"/>
          <w:bCs/>
          <w:kern w:val="2"/>
          <w:sz w:val="30"/>
          <w:szCs w:val="30"/>
        </w:rPr>
      </w:pPr>
      <w:r>
        <w:rPr>
          <w:rFonts w:ascii="Times New Roman" w:hAnsi="Times New Roman" w:eastAsia="仿宋_GB2312"/>
          <w:bCs/>
          <w:kern w:val="2"/>
          <w:sz w:val="30"/>
          <w:szCs w:val="30"/>
        </w:rPr>
        <w:t>（1）上海科学院，科苑路1278号5楼，联系人：吕老师、张老师，联系电话：51371630、64838846</w:t>
      </w:r>
    </w:p>
    <w:p w14:paraId="0FEF1C25">
      <w:pPr>
        <w:pStyle w:val="8"/>
        <w:spacing w:before="0" w:beforeAutospacing="0" w:after="0" w:afterAutospacing="0" w:line="580" w:lineRule="exact"/>
        <w:ind w:firstLine="600" w:firstLineChars="200"/>
        <w:jc w:val="both"/>
        <w:rPr>
          <w:rFonts w:ascii="Times New Roman" w:hAnsi="Times New Roman" w:eastAsia="仿宋_GB2312"/>
          <w:bCs/>
          <w:kern w:val="2"/>
          <w:sz w:val="30"/>
          <w:szCs w:val="30"/>
        </w:rPr>
      </w:pPr>
      <w:r>
        <w:rPr>
          <w:rFonts w:ascii="Times New Roman" w:hAnsi="Times New Roman" w:eastAsia="仿宋_GB2312"/>
          <w:bCs/>
          <w:kern w:val="2"/>
          <w:sz w:val="30"/>
          <w:szCs w:val="30"/>
        </w:rPr>
        <w:t>（2）上海科学院五里桥受理点（科耀实业），黄浦区五里桥路219号，联系人：李老师、朱老师，联系电话：63860028，62371073</w:t>
      </w:r>
    </w:p>
    <w:p w14:paraId="62E9C0E0">
      <w:pPr>
        <w:pStyle w:val="8"/>
        <w:numPr>
          <w:ilvl w:val="0"/>
          <w:numId w:val="1"/>
        </w:numPr>
        <w:spacing w:before="0" w:beforeAutospacing="0" w:after="0" w:afterAutospacing="0" w:line="580" w:lineRule="exact"/>
        <w:ind w:firstLine="600" w:firstLineChars="200"/>
        <w:jc w:val="both"/>
        <w:rPr>
          <w:rFonts w:ascii="Times New Roman" w:hAnsi="Times New Roman" w:eastAsia="仿宋_GB2312"/>
          <w:bCs/>
          <w:kern w:val="2"/>
          <w:sz w:val="30"/>
          <w:szCs w:val="30"/>
        </w:rPr>
      </w:pPr>
      <w:r>
        <w:rPr>
          <w:rFonts w:ascii="Times New Roman" w:hAnsi="Times New Roman" w:eastAsia="仿宋_GB2312"/>
          <w:bCs/>
          <w:kern w:val="2"/>
          <w:sz w:val="30"/>
          <w:szCs w:val="30"/>
        </w:rPr>
        <w:t>软件中心受理点，康宁路288弄数通链谷6号楼5楼，</w:t>
      </w:r>
    </w:p>
    <w:p w14:paraId="5F2CF360">
      <w:pPr>
        <w:pStyle w:val="8"/>
        <w:spacing w:before="0" w:beforeAutospacing="0" w:after="0" w:afterAutospacing="0" w:line="580" w:lineRule="exact"/>
        <w:jc w:val="both"/>
        <w:rPr>
          <w:rFonts w:ascii="Times New Roman" w:hAnsi="Times New Roman" w:eastAsia="仿宋_GB2312"/>
          <w:bCs/>
          <w:kern w:val="2"/>
          <w:sz w:val="30"/>
          <w:szCs w:val="30"/>
        </w:rPr>
      </w:pPr>
      <w:r>
        <w:rPr>
          <w:rFonts w:ascii="Times New Roman" w:hAnsi="Times New Roman" w:eastAsia="仿宋_GB2312"/>
          <w:bCs/>
          <w:kern w:val="2"/>
          <w:sz w:val="30"/>
          <w:szCs w:val="30"/>
        </w:rPr>
        <w:t xml:space="preserve">联系人：张老师，联系电话：64838846    </w:t>
      </w:r>
    </w:p>
    <w:p w14:paraId="5297B719">
      <w:pPr>
        <w:spacing w:line="580" w:lineRule="exact"/>
        <w:ind w:firstLine="600" w:firstLineChars="200"/>
        <w:rPr>
          <w:rFonts w:eastAsia="仿宋_GB2312"/>
          <w:bCs/>
          <w:sz w:val="30"/>
          <w:szCs w:val="30"/>
        </w:rPr>
      </w:pPr>
      <w:r>
        <w:rPr>
          <w:rFonts w:eastAsia="仿宋_GB2312"/>
          <w:bCs/>
          <w:sz w:val="30"/>
          <w:szCs w:val="30"/>
        </w:rPr>
        <w:t>（4）纳米中心受理点，嘉川路245号3号楼3楼，联系人：马老师，联系电话：54290339</w:t>
      </w:r>
    </w:p>
    <w:p w14:paraId="1A8B81FD">
      <w:pPr>
        <w:spacing w:line="580" w:lineRule="exact"/>
        <w:ind w:firstLine="600" w:firstLineChars="200"/>
        <w:rPr>
          <w:rFonts w:eastAsia="仿宋_GB2312"/>
          <w:bCs/>
          <w:sz w:val="30"/>
          <w:szCs w:val="30"/>
        </w:rPr>
      </w:pPr>
      <w:r>
        <w:rPr>
          <w:rFonts w:eastAsia="仿宋_GB2312"/>
          <w:bCs/>
          <w:sz w:val="30"/>
          <w:szCs w:val="30"/>
        </w:rPr>
        <w:t>（5）仪器仪表所受理点，龙江路214号</w:t>
      </w:r>
      <w:r>
        <w:rPr>
          <w:rFonts w:hint="eastAsia" w:eastAsia="仿宋_GB2312"/>
          <w:bCs/>
          <w:sz w:val="30"/>
          <w:szCs w:val="30"/>
          <w:lang w:eastAsia="zh-CN"/>
        </w:rPr>
        <w:t>，</w:t>
      </w:r>
      <w:r>
        <w:rPr>
          <w:rFonts w:eastAsia="仿宋_GB2312"/>
          <w:bCs/>
          <w:sz w:val="30"/>
          <w:szCs w:val="30"/>
        </w:rPr>
        <w:t>联系人：陶老师，联系电话：55211350*218</w:t>
      </w:r>
    </w:p>
    <w:p w14:paraId="5419E06C">
      <w:pPr>
        <w:pStyle w:val="8"/>
        <w:spacing w:before="0" w:beforeAutospacing="0" w:after="0" w:afterAutospacing="0" w:line="580" w:lineRule="exact"/>
        <w:ind w:firstLine="600" w:firstLineChars="200"/>
        <w:jc w:val="both"/>
        <w:rPr>
          <w:rFonts w:ascii="Times New Roman" w:hAnsi="Times New Roman" w:eastAsia="仿宋_GB2312"/>
          <w:bCs/>
          <w:kern w:val="2"/>
          <w:sz w:val="30"/>
          <w:szCs w:val="30"/>
        </w:rPr>
      </w:pPr>
      <w:r>
        <w:rPr>
          <w:rFonts w:ascii="Times New Roman" w:hAnsi="Times New Roman" w:eastAsia="仿宋_GB2312"/>
          <w:bCs/>
          <w:kern w:val="2"/>
          <w:sz w:val="30"/>
          <w:szCs w:val="30"/>
        </w:rPr>
        <w:t>（6）计算所受理点，愚园路546号8号楼207室，联系人：徐老师，联系电话：62129221</w:t>
      </w:r>
    </w:p>
    <w:p w14:paraId="75D5E0B8">
      <w:pPr>
        <w:pStyle w:val="8"/>
        <w:spacing w:before="0" w:beforeAutospacing="0" w:after="0" w:afterAutospacing="0" w:line="580" w:lineRule="exact"/>
        <w:ind w:firstLine="600" w:firstLineChars="200"/>
        <w:jc w:val="both"/>
        <w:rPr>
          <w:rFonts w:ascii="Times New Roman" w:hAnsi="Times New Roman" w:eastAsia="仿宋_GB2312"/>
          <w:bCs/>
          <w:kern w:val="2"/>
          <w:sz w:val="30"/>
          <w:szCs w:val="30"/>
        </w:rPr>
      </w:pPr>
      <w:r>
        <w:rPr>
          <w:rFonts w:ascii="Times New Roman" w:hAnsi="Times New Roman" w:eastAsia="仿宋_GB2312"/>
          <w:bCs/>
          <w:kern w:val="2"/>
          <w:sz w:val="30"/>
          <w:szCs w:val="30"/>
        </w:rPr>
        <w:t>（7）市科协受理点，黄浦区雁荡路84号2号楼311，</w:t>
      </w:r>
      <w:r>
        <w:rPr>
          <w:rFonts w:hint="eastAsia" w:ascii="Times New Roman" w:hAnsi="Times New Roman" w:eastAsia="仿宋_GB2312"/>
          <w:bCs/>
          <w:kern w:val="2"/>
          <w:sz w:val="30"/>
          <w:szCs w:val="30"/>
          <w:lang w:val="en-US" w:eastAsia="zh-CN"/>
        </w:rPr>
        <w:t>联</w:t>
      </w:r>
      <w:r>
        <w:rPr>
          <w:rFonts w:ascii="Times New Roman" w:hAnsi="Times New Roman" w:eastAsia="仿宋_GB2312"/>
          <w:bCs/>
          <w:kern w:val="2"/>
          <w:sz w:val="30"/>
          <w:szCs w:val="30"/>
        </w:rPr>
        <w:t>系人：龚老师、李老师，联系电话：53820284、53838522</w:t>
      </w:r>
    </w:p>
    <w:p w14:paraId="44D91390">
      <w:pPr>
        <w:spacing w:line="580" w:lineRule="exact"/>
        <w:ind w:firstLine="600" w:firstLineChars="200"/>
        <w:rPr>
          <w:rFonts w:eastAsia="仿宋_GB2312"/>
          <w:bCs/>
          <w:sz w:val="30"/>
          <w:szCs w:val="30"/>
        </w:rPr>
      </w:pPr>
      <w:r>
        <w:rPr>
          <w:rFonts w:eastAsia="仿宋_GB2312"/>
          <w:bCs/>
          <w:sz w:val="30"/>
          <w:szCs w:val="30"/>
        </w:rPr>
        <w:t>（8）新能源中心受理点，北京东路668号科技京城东楼五楼，联系人：汪老师，联系电话：61212618</w:t>
      </w:r>
    </w:p>
    <w:p w14:paraId="13EA4035">
      <w:pPr>
        <w:spacing w:line="580" w:lineRule="exact"/>
        <w:ind w:firstLine="600" w:firstLineChars="200"/>
        <w:rPr>
          <w:rFonts w:eastAsia="仿宋_GB2312"/>
          <w:bCs/>
          <w:sz w:val="30"/>
          <w:szCs w:val="30"/>
        </w:rPr>
      </w:pPr>
      <w:r>
        <w:rPr>
          <w:rFonts w:eastAsia="仿宋_GB2312"/>
          <w:bCs/>
          <w:sz w:val="30"/>
          <w:szCs w:val="30"/>
        </w:rPr>
        <w:t>（9）闵行区行政服务中心大零号湾分中心大零号湾受理点：闵行区剑川路940号E幢1楼，联系人：朱老师，杨老师，联系电话：64357188</w:t>
      </w:r>
    </w:p>
    <w:p w14:paraId="6769AB6A">
      <w:pPr>
        <w:spacing w:line="580" w:lineRule="exact"/>
        <w:ind w:firstLine="600" w:firstLineChars="200"/>
        <w:rPr>
          <w:rFonts w:eastAsia="仿宋_GB2312"/>
          <w:sz w:val="30"/>
          <w:szCs w:val="30"/>
        </w:rPr>
      </w:pPr>
      <w:r>
        <w:rPr>
          <w:rFonts w:eastAsia="仿宋_GB2312"/>
          <w:bCs/>
          <w:sz w:val="30"/>
          <w:szCs w:val="30"/>
        </w:rPr>
        <w:t>（10）虹桥国际人才服务中心受理点：闵行区甬虹路69号绿谷广场G栋1楼虹桥国际人才服务中心，联系人：高老师，严老师，联系</w:t>
      </w:r>
      <w:r>
        <w:rPr>
          <w:rFonts w:eastAsia="仿宋_GB2312"/>
          <w:sz w:val="30"/>
          <w:szCs w:val="30"/>
        </w:rPr>
        <w:t>电话：34733198</w:t>
      </w:r>
    </w:p>
    <w:p w14:paraId="23EE44A6">
      <w:pPr>
        <w:spacing w:line="580" w:lineRule="exact"/>
        <w:ind w:firstLine="600" w:firstLineChars="200"/>
        <w:rPr>
          <w:rFonts w:eastAsia="仿宋_GB2312"/>
          <w:sz w:val="30"/>
          <w:szCs w:val="30"/>
        </w:rPr>
      </w:pPr>
    </w:p>
    <w:p w14:paraId="13E798CF">
      <w:pPr>
        <w:spacing w:line="580" w:lineRule="exact"/>
        <w:ind w:firstLine="600" w:firstLineChars="200"/>
        <w:outlineLvl w:val="0"/>
        <w:rPr>
          <w:rFonts w:eastAsia="黑体"/>
          <w:kern w:val="44"/>
          <w:sz w:val="30"/>
          <w:szCs w:val="30"/>
        </w:rPr>
      </w:pPr>
      <w:r>
        <w:rPr>
          <w:rFonts w:eastAsia="黑体"/>
          <w:kern w:val="44"/>
          <w:sz w:val="30"/>
          <w:szCs w:val="30"/>
        </w:rPr>
        <w:t>八、评审费用</w:t>
      </w:r>
    </w:p>
    <w:p w14:paraId="37D273EF">
      <w:pPr>
        <w:spacing w:line="580" w:lineRule="exact"/>
        <w:ind w:firstLine="600" w:firstLineChars="200"/>
        <w:rPr>
          <w:rFonts w:eastAsia="仿宋_GB2312"/>
          <w:sz w:val="30"/>
          <w:szCs w:val="30"/>
        </w:rPr>
      </w:pPr>
      <w:r>
        <w:rPr>
          <w:rFonts w:eastAsia="仿宋_GB2312"/>
          <w:sz w:val="30"/>
          <w:szCs w:val="30"/>
        </w:rPr>
        <w:t>申报评审费用：600元。评审未通过者，费用及评审材料不予退还。</w:t>
      </w:r>
    </w:p>
    <w:p w14:paraId="141CD72A">
      <w:pPr>
        <w:spacing w:line="580" w:lineRule="exact"/>
        <w:ind w:firstLine="600" w:firstLineChars="200"/>
        <w:rPr>
          <w:rFonts w:eastAsia="仿宋_GB2312"/>
          <w:sz w:val="30"/>
          <w:szCs w:val="30"/>
        </w:rPr>
      </w:pPr>
      <w:r>
        <w:rPr>
          <w:rFonts w:eastAsia="仿宋_GB2312"/>
          <w:sz w:val="30"/>
          <w:szCs w:val="30"/>
        </w:rPr>
        <w:t>特此通知。</w:t>
      </w:r>
    </w:p>
    <w:p w14:paraId="1E9EC36F">
      <w:pPr>
        <w:spacing w:line="580" w:lineRule="exact"/>
        <w:ind w:firstLine="600" w:firstLineChars="200"/>
        <w:rPr>
          <w:rFonts w:eastAsia="仿宋_GB2312"/>
          <w:sz w:val="30"/>
          <w:szCs w:val="30"/>
        </w:rPr>
      </w:pPr>
    </w:p>
    <w:p w14:paraId="236B68C1">
      <w:pPr>
        <w:spacing w:line="580" w:lineRule="exact"/>
        <w:ind w:firstLine="600" w:firstLineChars="200"/>
        <w:rPr>
          <w:rFonts w:eastAsia="仿宋_GB2312"/>
          <w:sz w:val="30"/>
          <w:szCs w:val="30"/>
        </w:rPr>
      </w:pPr>
      <w:r>
        <w:rPr>
          <w:rFonts w:eastAsia="仿宋_GB2312"/>
          <w:sz w:val="30"/>
          <w:szCs w:val="30"/>
        </w:rPr>
        <w:t>附件：《2025年度送审材料目录》</w:t>
      </w:r>
    </w:p>
    <w:p w14:paraId="478EAAF7">
      <w:pPr>
        <w:pStyle w:val="8"/>
        <w:spacing w:before="0" w:beforeAutospacing="0" w:after="0" w:afterAutospacing="0" w:line="580" w:lineRule="exact"/>
        <w:ind w:firstLine="600" w:firstLineChars="200"/>
        <w:jc w:val="both"/>
        <w:rPr>
          <w:rFonts w:ascii="Times New Roman" w:hAnsi="Times New Roman" w:eastAsia="仿宋_GB2312"/>
          <w:sz w:val="30"/>
          <w:szCs w:val="30"/>
        </w:rPr>
      </w:pPr>
    </w:p>
    <w:p w14:paraId="601BCC39">
      <w:pPr>
        <w:pStyle w:val="8"/>
        <w:spacing w:before="0" w:beforeAutospacing="0" w:after="0" w:afterAutospacing="0" w:line="580" w:lineRule="exact"/>
        <w:ind w:firstLine="600" w:firstLineChars="200"/>
        <w:jc w:val="right"/>
        <w:rPr>
          <w:rFonts w:ascii="Times New Roman" w:hAnsi="Times New Roman" w:eastAsia="仿宋_GB2312"/>
          <w:kern w:val="2"/>
          <w:sz w:val="30"/>
          <w:szCs w:val="30"/>
        </w:rPr>
      </w:pPr>
      <w:r>
        <w:rPr>
          <w:rFonts w:ascii="Times New Roman" w:hAnsi="Times New Roman" w:eastAsia="仿宋_GB2312"/>
          <w:kern w:val="2"/>
          <w:sz w:val="30"/>
          <w:szCs w:val="30"/>
        </w:rPr>
        <w:t>上海市工程系列新材料与能源专业</w:t>
      </w:r>
    </w:p>
    <w:p w14:paraId="012C45ED">
      <w:pPr>
        <w:pStyle w:val="8"/>
        <w:spacing w:before="0" w:beforeAutospacing="0" w:after="0" w:afterAutospacing="0" w:line="580" w:lineRule="exact"/>
        <w:ind w:left="5754" w:leftChars="280" w:hanging="5166" w:hangingChars="1722"/>
        <w:rPr>
          <w:rFonts w:ascii="Times New Roman" w:hAnsi="Times New Roman" w:eastAsia="仿宋_GB2312"/>
          <w:kern w:val="2"/>
          <w:sz w:val="30"/>
          <w:szCs w:val="30"/>
        </w:rPr>
      </w:pPr>
      <w:r>
        <w:rPr>
          <w:rFonts w:ascii="Times New Roman" w:hAnsi="Times New Roman" w:eastAsia="仿宋_GB2312"/>
          <w:kern w:val="2"/>
          <w:sz w:val="30"/>
          <w:szCs w:val="30"/>
        </w:rPr>
        <w:t xml:space="preserve">                                 中级职称评审委员会                                                  2025年5月</w:t>
      </w:r>
      <w:r>
        <w:rPr>
          <w:rFonts w:hint="eastAsia" w:ascii="Times New Roman" w:hAnsi="Times New Roman" w:eastAsia="仿宋_GB2312"/>
          <w:kern w:val="2"/>
          <w:sz w:val="30"/>
          <w:szCs w:val="30"/>
          <w:lang w:val="en-US" w:eastAsia="zh-CN"/>
        </w:rPr>
        <w:t>30</w:t>
      </w:r>
      <w:r>
        <w:rPr>
          <w:rFonts w:ascii="Times New Roman" w:hAnsi="Times New Roman" w:eastAsia="仿宋_GB2312"/>
          <w:kern w:val="2"/>
          <w:sz w:val="30"/>
          <w:szCs w:val="30"/>
        </w:rPr>
        <w:t>日</w:t>
      </w:r>
    </w:p>
    <w:p w14:paraId="66B931D8">
      <w:pPr>
        <w:pStyle w:val="8"/>
        <w:spacing w:before="0" w:beforeAutospacing="0" w:after="0" w:afterAutospacing="0" w:line="560" w:lineRule="exact"/>
        <w:ind w:firstLine="600" w:firstLineChars="200"/>
        <w:jc w:val="right"/>
        <w:rPr>
          <w:rFonts w:ascii="Times New Roman" w:hAnsi="Times New Roman" w:eastAsia="仿宋_GB2312"/>
          <w:kern w:val="2"/>
          <w:sz w:val="30"/>
          <w:szCs w:val="30"/>
        </w:rPr>
      </w:pPr>
    </w:p>
    <w:p w14:paraId="48460943">
      <w:pPr>
        <w:pStyle w:val="8"/>
        <w:spacing w:before="0" w:beforeAutospacing="0" w:after="0" w:afterAutospacing="0" w:line="560" w:lineRule="exact"/>
        <w:jc w:val="both"/>
        <w:rPr>
          <w:rFonts w:ascii="Times New Roman" w:hAnsi="Times New Roman" w:eastAsia="仿宋_GB2312"/>
          <w:kern w:val="2"/>
          <w:sz w:val="32"/>
          <w:szCs w:val="32"/>
        </w:rPr>
      </w:pPr>
    </w:p>
    <w:sectPr>
      <w:footerReference r:id="rId3" w:type="default"/>
      <w:pgSz w:w="11906" w:h="16838"/>
      <w:pgMar w:top="1814" w:right="1474" w:bottom="1361" w:left="1474" w:header="680" w:footer="624" w:gutter="0"/>
      <w:pgNumType w:chapStyle="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AA1C1B9-D4CD-466B-9E6D-3966C562A75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_x000B__x000C_">
    <w:altName w:val="宋体"/>
    <w:panose1 w:val="00000000000000000000"/>
    <w:charset w:val="00"/>
    <w:family w:val="roman"/>
    <w:pitch w:val="default"/>
    <w:sig w:usb0="00000000" w:usb1="00000000" w:usb2="00000000" w:usb3="00000000" w:csb0="00040001" w:csb1="00000000"/>
  </w:font>
  <w:font w:name="方正小标宋_GBK">
    <w:panose1 w:val="02000000000000000000"/>
    <w:charset w:val="86"/>
    <w:family w:val="auto"/>
    <w:pitch w:val="default"/>
    <w:sig w:usb0="A00002BF" w:usb1="38CF7CFA" w:usb2="00082016" w:usb3="00000000" w:csb0="00040001" w:csb1="00000000"/>
    <w:embedRegular r:id="rId2" w:fontKey="{CBD56EE2-44E3-4C64-991B-9FD05F919DB3}"/>
  </w:font>
  <w:font w:name="仿宋_GB2312">
    <w:panose1 w:val="02010609030101010101"/>
    <w:charset w:val="86"/>
    <w:family w:val="modern"/>
    <w:pitch w:val="default"/>
    <w:sig w:usb0="00000001" w:usb1="080E0000" w:usb2="00000000" w:usb3="00000000" w:csb0="00040000" w:csb1="00000000"/>
    <w:embedRegular r:id="rId3" w:fontKey="{C7909467-5F17-4F1A-899F-E6FCCF01FD40}"/>
  </w:font>
  <w:font w:name="方正楷体_GB2312">
    <w:panose1 w:val="02000000000000000000"/>
    <w:charset w:val="86"/>
    <w:family w:val="auto"/>
    <w:pitch w:val="default"/>
    <w:sig w:usb0="A00002BF" w:usb1="184F6CFA" w:usb2="00000012" w:usb3="00000000" w:csb0="00040001" w:csb1="00000000"/>
    <w:embedRegular r:id="rId4" w:fontKey="{975F816F-F948-4023-895D-16413BF9703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8CA5D">
    <w:pPr>
      <w:pStyle w:val="6"/>
      <w:jc w:val="center"/>
    </w:pPr>
    <w:r>
      <w:fldChar w:fldCharType="begin"/>
    </w:r>
    <w:r>
      <w:instrText xml:space="preserve"> PAGE   \* MERGEFORMAT </w:instrText>
    </w:r>
    <w:r>
      <w:fldChar w:fldCharType="separate"/>
    </w:r>
    <w:r>
      <w:rPr>
        <w:lang w:val="zh-CN"/>
      </w:rPr>
      <w:t>1</w:t>
    </w:r>
    <w:r>
      <w:fldChar w:fldCharType="end"/>
    </w:r>
  </w:p>
  <w:p w14:paraId="7A781AF3">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28F73A"/>
    <w:multiLevelType w:val="singleLevel"/>
    <w:tmpl w:val="6928F73A"/>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3868"/>
    <w:rsid w:val="00121E6C"/>
    <w:rsid w:val="00172A27"/>
    <w:rsid w:val="002342E3"/>
    <w:rsid w:val="00384D3A"/>
    <w:rsid w:val="00571F0A"/>
    <w:rsid w:val="00616DA3"/>
    <w:rsid w:val="009E10EB"/>
    <w:rsid w:val="00A26985"/>
    <w:rsid w:val="00AF4EF2"/>
    <w:rsid w:val="00B673B6"/>
    <w:rsid w:val="00D80F4A"/>
    <w:rsid w:val="00E85478"/>
    <w:rsid w:val="00FA4C3F"/>
    <w:rsid w:val="03E35ACA"/>
    <w:rsid w:val="06420D06"/>
    <w:rsid w:val="06B25E71"/>
    <w:rsid w:val="0ADC0A49"/>
    <w:rsid w:val="106B3E10"/>
    <w:rsid w:val="15797EC8"/>
    <w:rsid w:val="17EB1234"/>
    <w:rsid w:val="1890389A"/>
    <w:rsid w:val="1B780FAB"/>
    <w:rsid w:val="25252876"/>
    <w:rsid w:val="25FF1197"/>
    <w:rsid w:val="2EC95116"/>
    <w:rsid w:val="2F0F1F13"/>
    <w:rsid w:val="3390447A"/>
    <w:rsid w:val="36763CE6"/>
    <w:rsid w:val="3B1B35E1"/>
    <w:rsid w:val="3F115CA2"/>
    <w:rsid w:val="3FCE565F"/>
    <w:rsid w:val="46F600CC"/>
    <w:rsid w:val="4F5C3B0D"/>
    <w:rsid w:val="52D57ADD"/>
    <w:rsid w:val="59675E03"/>
    <w:rsid w:val="635B3382"/>
    <w:rsid w:val="66945408"/>
    <w:rsid w:val="6F193978"/>
    <w:rsid w:val="748416E1"/>
    <w:rsid w:val="76936197"/>
    <w:rsid w:val="7DF62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1" w:name="heading 2"/>
    <w:lsdException w:qFormat="1" w:uiPriority="1" w:name="heading 3"/>
    <w:lsdException w:qFormat="1" w:uiPriority="1" w:name="heading 4"/>
    <w:lsdException w:qFormat="1" w:uiPriority="1" w:name="heading 5"/>
    <w:lsdException w:qFormat="1" w:uiPriority="1" w:name="heading 6"/>
    <w:lsdException w:qFormat="1" w:uiPriority="1" w:name="heading 7"/>
    <w:lsdException w:qFormat="1" w:uiPriority="1" w:name="heading 8"/>
    <w:lsdException w:qFormat="1" w:uiPriority="1" w:name="heading 9"/>
    <w:lsdException w:uiPriority="1" w:name="index 1"/>
    <w:lsdException w:uiPriority="1" w:name="index 2"/>
    <w:lsdException w:uiPriority="1" w:name="index 3"/>
    <w:lsdException w:uiPriority="1" w:name="index 4"/>
    <w:lsdException w:uiPriority="1" w:name="index 5"/>
    <w:lsdException w:uiPriority="1" w:name="index 6"/>
    <w:lsdException w:uiPriority="1" w:name="index 7"/>
    <w:lsdException w:uiPriority="1" w:name="index 8"/>
    <w:lsdException w:uiPriority="1" w:name="index 9"/>
    <w:lsdException w:uiPriority="1" w:name="toc 1"/>
    <w:lsdException w:uiPriority="1" w:name="toc 2"/>
    <w:lsdException w:uiPriority="1" w:name="toc 3"/>
    <w:lsdException w:uiPriority="1" w:name="toc 4"/>
    <w:lsdException w:uiPriority="1" w:name="toc 5"/>
    <w:lsdException w:uiPriority="1" w:name="toc 6"/>
    <w:lsdException w:uiPriority="1" w:name="toc 7"/>
    <w:lsdException w:uiPriority="1" w:name="toc 8"/>
    <w:lsdException w:uiPriority="1" w:name="toc 9"/>
    <w:lsdException w:uiPriority="1" w:name="Normal Indent"/>
    <w:lsdException w:uiPriority="1" w:name="footnote text"/>
    <w:lsdException w:uiPriority="1" w:name="annotation text"/>
    <w:lsdException w:qFormat="1" w:unhideWhenUsed="0" w:uiPriority="0" w:semiHidden="0" w:name="header"/>
    <w:lsdException w:qFormat="1" w:unhideWhenUsed="0" w:uiPriority="99" w:semiHidden="0" w:name="footer"/>
    <w:lsdException w:uiPriority="1" w:name="index heading"/>
    <w:lsdException w:qFormat="1" w:uiPriority="1" w:name="caption"/>
    <w:lsdException w:uiPriority="1" w:name="table of figures"/>
    <w:lsdException w:uiPriority="1" w:name="envelope address"/>
    <w:lsdException w:uiPriority="1" w:name="envelope return"/>
    <w:lsdException w:uiPriority="1" w:name="footnote reference"/>
    <w:lsdException w:uiPriority="1" w:name="annotation reference"/>
    <w:lsdException w:uiPriority="1" w:name="line number"/>
    <w:lsdException w:uiPriority="1" w:name="page number"/>
    <w:lsdException w:uiPriority="1" w:name="endnote reference"/>
    <w:lsdException w:uiPriority="1" w:name="endnote text"/>
    <w:lsdException w:uiPriority="1" w:name="table of authorities"/>
    <w:lsdException w:uiPriority="1" w:name="macro"/>
    <w:lsdException w:uiPriority="1" w:name="toa heading"/>
    <w:lsdException w:uiPriority="1" w:name="List"/>
    <w:lsdException w:uiPriority="1" w:name="List Bullet"/>
    <w:lsdException w:uiPriority="1" w:name="List Number"/>
    <w:lsdException w:uiPriority="1" w:name="List 2"/>
    <w:lsdException w:uiPriority="1" w:name="List 3"/>
    <w:lsdException w:uiPriority="1" w:name="List 4"/>
    <w:lsdException w:uiPriority="1" w:name="List 5"/>
    <w:lsdException w:uiPriority="1" w:name="List Bullet 2"/>
    <w:lsdException w:uiPriority="1" w:name="List Bullet 3"/>
    <w:lsdException w:uiPriority="1" w:name="List Bullet 4"/>
    <w:lsdException w:uiPriority="1" w:name="List Bullet 5"/>
    <w:lsdException w:uiPriority="1" w:name="List Number 2"/>
    <w:lsdException w:uiPriority="1" w:name="List Number 3"/>
    <w:lsdException w:uiPriority="1" w:name="List Number 4"/>
    <w:lsdException w:uiPriority="1" w:name="List Number 5"/>
    <w:lsdException w:qFormat="1" w:unhideWhenUsed="0" w:uiPriority="1" w:semiHidden="0" w:name="Title"/>
    <w:lsdException w:uiPriority="1" w:name="Closing"/>
    <w:lsdException w:uiPriority="1" w:name="Signature"/>
    <w:lsdException w:qFormat="1" w:uiPriority="1" w:name="Default Paragraph Font"/>
    <w:lsdException w:uiPriority="1" w:name="Body Text"/>
    <w:lsdException w:uiPriority="1" w:name="Body Text Indent"/>
    <w:lsdException w:uiPriority="1" w:name="List Continue"/>
    <w:lsdException w:uiPriority="1" w:name="List Continue 2"/>
    <w:lsdException w:uiPriority="1" w:name="List Continue 3"/>
    <w:lsdException w:uiPriority="1" w:name="List Continue 4"/>
    <w:lsdException w:uiPriority="1" w:name="List Continue 5"/>
    <w:lsdException w:uiPriority="1" w:name="Message Header"/>
    <w:lsdException w:qFormat="1" w:unhideWhenUsed="0" w:uiPriority="1" w:semiHidden="0" w:name="Subtitle"/>
    <w:lsdException w:uiPriority="1" w:name="Salutation"/>
    <w:lsdException w:qFormat="1" w:unhideWhenUsed="0" w:uiPriority="0" w:semiHidden="0" w:name="Date"/>
    <w:lsdException w:uiPriority="1" w:name="Body Text First Indent"/>
    <w:lsdException w:uiPriority="1" w:name="Body Text First Indent 2"/>
    <w:lsdException w:uiPriority="1" w:name="Note Heading"/>
    <w:lsdException w:uiPriority="1" w:name="Body Text 2"/>
    <w:lsdException w:uiPriority="1" w:name="Body Text 3"/>
    <w:lsdException w:uiPriority="1" w:name="Body Text Indent 2"/>
    <w:lsdException w:uiPriority="1" w:name="Body Text Indent 3"/>
    <w:lsdException w:uiPriority="1" w:name="Block Text"/>
    <w:lsdException w:qFormat="1" w:unhideWhenUsed="0" w:uiPriority="0" w:semiHidden="0" w:name="Hyperlink"/>
    <w:lsdException w:uiPriority="1" w:name="FollowedHyperlink"/>
    <w:lsdException w:qFormat="1" w:unhideWhenUsed="0" w:uiPriority="22" w:semiHidden="0" w:name="Strong"/>
    <w:lsdException w:qFormat="1" w:unhideWhenUsed="0" w:uiPriority="1" w:semiHidden="0" w:name="Emphasis"/>
    <w:lsdException w:uiPriority="1" w:name="Document Map"/>
    <w:lsdException w:qFormat="1" w:uiPriority="99" w:semiHidden="0" w:name="Plain Text"/>
    <w:lsdException w:uiPriority="1" w:name="E-mail Signature"/>
    <w:lsdException w:qFormat="1" w:unhideWhenUsed="0" w:uiPriority="99" w:semiHidden="0" w:name="Normal (Web)"/>
    <w:lsdException w:uiPriority="1" w:name="HTML Acronym"/>
    <w:lsdException w:uiPriority="1" w:name="HTML Address"/>
    <w:lsdException w:uiPriority="1" w:name="HTML Cite"/>
    <w:lsdException w:uiPriority="1" w:name="HTML Code"/>
    <w:lsdException w:uiPriority="1" w:name="HTML Definition"/>
    <w:lsdException w:uiPriority="1" w:name="HTML Keyboard"/>
    <w:lsdException w:uiPriority="1" w:name="HTML Preformatted"/>
    <w:lsdException w:uiPriority="1" w:name="HTML Sample"/>
    <w:lsdException w:uiPriority="1" w:name="HTML Typewriter"/>
    <w:lsdException w:uiPriority="1" w:name="HTML Variable"/>
    <w:lsdException w:qFormat="1" w:uiPriority="99" w:name="Normal Table"/>
    <w:lsdException w:uiPriority="1" w:name="annotation subject"/>
    <w:lsdException w:uiPriority="1" w:name="Table Simple 1"/>
    <w:lsdException w:uiPriority="1" w:name="Table Simple 2"/>
    <w:lsdException w:uiPriority="1" w:name="Table Simple 3"/>
    <w:lsdException w:uiPriority="1" w:name="Table Classic 1"/>
    <w:lsdException w:uiPriority="1" w:name="Table Classic 2"/>
    <w:lsdException w:uiPriority="1" w:name="Table Classic 3"/>
    <w:lsdException w:uiPriority="1" w:name="Table Classic 4"/>
    <w:lsdException w:uiPriority="1" w:name="Table Colorful 1"/>
    <w:lsdException w:uiPriority="1" w:name="Table Colorful 2"/>
    <w:lsdException w:uiPriority="1" w:name="Table Colorful 3"/>
    <w:lsdException w:uiPriority="1" w:name="Table Columns 1"/>
    <w:lsdException w:uiPriority="1" w:name="Table Columns 2"/>
    <w:lsdException w:uiPriority="1" w:name="Table Columns 3"/>
    <w:lsdException w:uiPriority="1" w:name="Table Columns 4"/>
    <w:lsdException w:uiPriority="1" w:name="Table Columns 5"/>
    <w:lsdException w:uiPriority="1" w:name="Table Grid 1"/>
    <w:lsdException w:uiPriority="1" w:name="Table Grid 2"/>
    <w:lsdException w:uiPriority="1" w:name="Table Grid 3"/>
    <w:lsdException w:uiPriority="1" w:name="Table Grid 4"/>
    <w:lsdException w:uiPriority="1" w:name="Table Grid 5"/>
    <w:lsdException w:uiPriority="1" w:name="Table Grid 6"/>
    <w:lsdException w:uiPriority="1" w:name="Table Grid 7"/>
    <w:lsdException w:uiPriority="1" w:name="Table Grid 8"/>
    <w:lsdException w:uiPriority="1" w:name="Table List 1"/>
    <w:lsdException w:uiPriority="1" w:name="Table List 2"/>
    <w:lsdException w:uiPriority="1" w:name="Table List 3"/>
    <w:lsdException w:uiPriority="1" w:name="Table List 4"/>
    <w:lsdException w:uiPriority="1" w:name="Table List 5"/>
    <w:lsdException w:uiPriority="1" w:name="Table List 6"/>
    <w:lsdException w:uiPriority="1" w:name="Table List 7"/>
    <w:lsdException w:uiPriority="1" w:name="Table List 8"/>
    <w:lsdException w:uiPriority="1" w:name="Table 3D effects 1"/>
    <w:lsdException w:uiPriority="1" w:name="Table 3D effects 2"/>
    <w:lsdException w:uiPriority="1" w:name="Table 3D effects 3"/>
    <w:lsdException w:uiPriority="1" w:name="Table Contemporary"/>
    <w:lsdException w:uiPriority="1" w:name="Table Elegant"/>
    <w:lsdException w:uiPriority="1" w:name="Table Professional"/>
    <w:lsdException w:uiPriority="1" w:name="Table Subtle 1"/>
    <w:lsdException w:uiPriority="1" w:name="Table Subtle 2"/>
    <w:lsdException w:uiPriority="1" w:name="Table Web 1"/>
    <w:lsdException w:uiPriority="1" w:name="Table Web 2"/>
    <w:lsdException w:uiPriority="1" w:name="Table Web 3"/>
    <w:lsdException w:qFormat="1" w:unhideWhenUsed="0" w:uiPriority="0" w:semiHidden="0" w:name="Balloon Text"/>
    <w:lsdException w:uiPriority="1" w:name="Table Grid"/>
    <w:lsdException w:uiPriority="1"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3"/>
    <w:unhideWhenUsed/>
    <w:qFormat/>
    <w:uiPriority w:val="99"/>
    <w:pPr>
      <w:widowControl/>
      <w:ind w:firstLine="360"/>
      <w:jc w:val="left"/>
    </w:pPr>
    <w:rPr>
      <w:rFonts w:ascii="宋体" w:hAnsi="Courier New" w:cs="Courier New"/>
      <w:kern w:val="0"/>
      <w:szCs w:val="21"/>
      <w:lang w:eastAsia="en-US" w:bidi="en-US"/>
    </w:rPr>
  </w:style>
  <w:style w:type="paragraph" w:styleId="4">
    <w:name w:val="Date"/>
    <w:basedOn w:val="1"/>
    <w:next w:val="1"/>
    <w:link w:val="14"/>
    <w:qFormat/>
    <w:uiPriority w:val="0"/>
    <w:pPr>
      <w:ind w:left="100" w:leftChars="2500"/>
    </w:pPr>
  </w:style>
  <w:style w:type="paragraph" w:styleId="5">
    <w:name w:val="Balloon Text"/>
    <w:basedOn w:val="1"/>
    <w:qFormat/>
    <w:uiPriority w:val="0"/>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kern w:val="0"/>
      <w:sz w:val="24"/>
    </w:rPr>
  </w:style>
  <w:style w:type="character" w:styleId="11">
    <w:name w:val="Strong"/>
    <w:qFormat/>
    <w:uiPriority w:val="22"/>
    <w:rPr>
      <w:b/>
      <w:bCs/>
    </w:rPr>
  </w:style>
  <w:style w:type="character" w:styleId="12">
    <w:name w:val="Hyperlink"/>
    <w:qFormat/>
    <w:uiPriority w:val="0"/>
    <w:rPr>
      <w:rFonts w:hint="default" w:ascii="_x000B__x000C_" w:hAnsi="_x000B__x000C_"/>
      <w:color w:val="133E68"/>
      <w:sz w:val="18"/>
      <w:szCs w:val="18"/>
      <w:u w:val="none"/>
    </w:rPr>
  </w:style>
  <w:style w:type="character" w:customStyle="1" w:styleId="13">
    <w:name w:val="纯文本 Char"/>
    <w:link w:val="3"/>
    <w:qFormat/>
    <w:uiPriority w:val="99"/>
    <w:rPr>
      <w:rFonts w:ascii="宋体" w:hAnsi="Courier New" w:cs="Courier New"/>
      <w:sz w:val="21"/>
      <w:szCs w:val="21"/>
      <w:lang w:eastAsia="en-US" w:bidi="en-US"/>
    </w:rPr>
  </w:style>
  <w:style w:type="character" w:customStyle="1" w:styleId="14">
    <w:name w:val="日期 Char"/>
    <w:link w:val="4"/>
    <w:qFormat/>
    <w:uiPriority w:val="0"/>
    <w:rPr>
      <w:kern w:val="2"/>
      <w:sz w:val="21"/>
      <w:szCs w:val="24"/>
    </w:rPr>
  </w:style>
  <w:style w:type="character" w:customStyle="1" w:styleId="15">
    <w:name w:val="页脚 Char"/>
    <w:link w:val="6"/>
    <w:qFormat/>
    <w:uiPriority w:val="99"/>
    <w:rPr>
      <w:kern w:val="2"/>
      <w:sz w:val="18"/>
      <w:szCs w:val="18"/>
    </w:rPr>
  </w:style>
  <w:style w:type="character" w:customStyle="1" w:styleId="16">
    <w:name w:val="页眉 Char"/>
    <w:link w:val="7"/>
    <w:qFormat/>
    <w:uiPriority w:val="0"/>
    <w:rPr>
      <w:kern w:val="2"/>
      <w:sz w:val="18"/>
      <w:szCs w:val="18"/>
    </w:rPr>
  </w:style>
  <w:style w:type="paragraph" w:customStyle="1" w:styleId="17">
    <w:name w:val="_Style 16"/>
    <w:semiHidden/>
    <w:qFormat/>
    <w:uiPriority w:val="99"/>
    <w:rPr>
      <w:rFonts w:ascii="Times New Roman" w:hAnsi="Times New Roman" w:eastAsia="宋体" w:cs="Times New Roman"/>
      <w:kern w:val="2"/>
      <w:sz w:val="21"/>
      <w:szCs w:val="24"/>
      <w:lang w:val="en-US" w:eastAsia="zh-CN" w:bidi="ar-SA"/>
    </w:rPr>
  </w:style>
  <w:style w:type="paragraph" w:styleId="18">
    <w:name w:val="List Paragraph"/>
    <w:basedOn w:val="1"/>
    <w:qFormat/>
    <w:uiPriority w:val="0"/>
    <w:pPr>
      <w:spacing w:line="480" w:lineRule="auto"/>
      <w:ind w:firstLine="420" w:firstLineChars="200"/>
    </w:pPr>
    <w:rPr>
      <w:rFonts w:ascii="Calibri" w:hAnsi="Calibri"/>
      <w:szCs w:val="22"/>
    </w:rPr>
  </w:style>
  <w:style w:type="paragraph" w:customStyle="1" w:styleId="19">
    <w:name w:val="样式5"/>
    <w:basedOn w:val="1"/>
    <w:next w:val="1"/>
    <w:qFormat/>
    <w:uiPriority w:val="0"/>
    <w:pPr>
      <w:keepNext/>
      <w:keepLines/>
      <w:spacing w:line="560" w:lineRule="exact"/>
      <w:ind w:firstLine="643" w:firstLineChars="200"/>
      <w:outlineLvl w:val="0"/>
    </w:pPr>
    <w:rPr>
      <w:rFonts w:hint="eastAsia" w:ascii="黑体" w:hAnsi="黑体" w:eastAsia="黑体" w:cs="黑体"/>
      <w:b/>
      <w:kern w:val="0"/>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10</Pages>
  <Words>4526</Words>
  <Characters>4876</Characters>
  <Lines>35</Lines>
  <Paragraphs>10</Paragraphs>
  <TotalTime>30</TotalTime>
  <ScaleCrop>false</ScaleCrop>
  <LinksUpToDate>false</LinksUpToDate>
  <CharactersWithSpaces>4966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2025-03-24T12:27:00Z</dcterms:created>
  <dc:creator>微软用户</dc:creator>
  <cp:lastModifiedBy>evenami</cp:lastModifiedBy>
  <cp:lastPrinted>2025-05-21T08:37:00Z</cp:lastPrinted>
  <dcterms:modified xsi:type="dcterms:W3CDTF">2025-05-30T05:05:23Z</dcterms:modified>
  <dc:title>关于申报2007年度上海市工程技术（管理）、光科技、仪器仪表、</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8B141E2E455545BEA88CDD2B000DEEE4_13</vt:lpwstr>
  </property>
  <property fmtid="{D5CDD505-2E9C-101B-9397-08002B2CF9AE}" pid="4" name="KSOTemplateDocerSaveRecord">
    <vt:lpwstr>eyJoZGlkIjoiNmYwYWI3NmEyYTJjNGJjODY2ZTUwMmZiNjcxYmY2NzEiLCJ1c2VySWQiOiI5MjUyMzE1NTUifQ==</vt:lpwstr>
  </property>
</Properties>
</file>