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utoSpaceDE w:val="0"/>
        <w:autoSpaceDN w:val="0"/>
        <w:jc w:val="center"/>
        <w:rPr>
          <w:rFonts w:hint="eastAsia" w:ascii="宋体" w:hAnsi="宋体" w:eastAsia="宋体" w:cs="Times New Roman"/>
          <w:b/>
          <w:bCs/>
          <w:color w:val="000000"/>
          <w:sz w:val="44"/>
          <w:szCs w:val="22"/>
        </w:rPr>
      </w:pPr>
      <w:r>
        <w:rPr>
          <w:rFonts w:hint="eastAsia" w:ascii="宋体" w:hAnsi="宋体" w:eastAsia="宋体" w:cs="Times New Roman"/>
          <w:b/>
          <w:bCs/>
          <w:color w:val="000000"/>
          <w:sz w:val="44"/>
          <w:szCs w:val="22"/>
        </w:rPr>
        <w:t>关于开展</w:t>
      </w:r>
      <w:r>
        <w:rPr>
          <w:rFonts w:hint="eastAsia" w:ascii="宋体" w:hAnsi="宋体" w:cs="Times New Roman"/>
          <w:b/>
          <w:bCs/>
          <w:color w:val="000000"/>
          <w:sz w:val="44"/>
          <w:szCs w:val="22"/>
          <w:lang w:eastAsia="zh-CN"/>
        </w:rPr>
        <w:t>2025</w:t>
      </w:r>
      <w:r>
        <w:rPr>
          <w:rFonts w:hint="eastAsia" w:ascii="宋体" w:hAnsi="宋体" w:eastAsia="宋体" w:cs="Times New Roman"/>
          <w:b/>
          <w:bCs/>
          <w:color w:val="000000"/>
          <w:sz w:val="44"/>
          <w:szCs w:val="22"/>
        </w:rPr>
        <w:t>年度上海市工程系列</w:t>
      </w:r>
    </w:p>
    <w:p>
      <w:pPr>
        <w:widowControl w:val="0"/>
        <w:autoSpaceDE w:val="0"/>
        <w:autoSpaceDN w:val="0"/>
        <w:jc w:val="center"/>
        <w:rPr>
          <w:rFonts w:hint="eastAsia" w:ascii="宋体" w:hAnsi="宋体" w:eastAsia="宋体" w:cs="Times New Roman"/>
          <w:b/>
          <w:bCs/>
          <w:color w:val="000000"/>
          <w:sz w:val="44"/>
          <w:szCs w:val="22"/>
        </w:rPr>
      </w:pPr>
      <w:r>
        <w:rPr>
          <w:rFonts w:hint="eastAsia" w:ascii="宋体" w:hAnsi="宋体" w:eastAsia="宋体" w:cs="Times New Roman"/>
          <w:b/>
          <w:bCs/>
          <w:color w:val="000000"/>
          <w:sz w:val="44"/>
          <w:szCs w:val="22"/>
        </w:rPr>
        <w:t>冶金专业高级职称评审工作的通知</w:t>
      </w:r>
    </w:p>
    <w:p>
      <w:pPr>
        <w:keepNext w:val="0"/>
        <w:keepLines w:val="0"/>
        <w:pageBreakBefore w:val="0"/>
        <w:widowControl w:val="0"/>
        <w:kinsoku/>
        <w:wordWrap/>
        <w:overflowPunct/>
        <w:topLinePunct w:val="0"/>
        <w:autoSpaceDE/>
        <w:autoSpaceDN/>
        <w:bidi w:val="0"/>
        <w:adjustRightInd/>
        <w:spacing w:line="240" w:lineRule="auto"/>
        <w:jc w:val="center"/>
        <w:textAlignment w:val="auto"/>
        <w:rPr>
          <w:rFonts w:hint="eastAsia" w:ascii="黑体" w:hAnsi="黑体" w:eastAsia="黑体" w:cs="黑体"/>
          <w:b/>
          <w:bCs/>
          <w:sz w:val="30"/>
          <w:szCs w:val="30"/>
        </w:rPr>
      </w:pP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kern w:val="0"/>
          <w:sz w:val="30"/>
          <w:szCs w:val="30"/>
          <w:shd w:val="clear" w:color="auto" w:fill="FFFFFF"/>
          <w:lang w:val="en-US" w:eastAsia="zh-CN"/>
        </w:rPr>
      </w:pPr>
      <w:r>
        <w:rPr>
          <w:rFonts w:hint="eastAsia" w:ascii="仿宋" w:hAnsi="仿宋" w:eastAsia="仿宋" w:cs="仿宋"/>
          <w:kern w:val="0"/>
          <w:sz w:val="30"/>
          <w:szCs w:val="30"/>
          <w:shd w:val="clear" w:color="auto" w:fill="FFFFFF"/>
          <w:lang w:val="en-US" w:eastAsia="zh-CN"/>
        </w:rPr>
        <w:t>各有关单位：</w:t>
      </w:r>
    </w:p>
    <w:p>
      <w:pPr>
        <w:keepNext w:val="0"/>
        <w:keepLines w:val="0"/>
        <w:pageBreakBefore w:val="0"/>
        <w:widowControl w:val="0"/>
        <w:kinsoku/>
        <w:wordWrap/>
        <w:overflowPunct/>
        <w:topLinePunct w:val="0"/>
        <w:autoSpaceDE/>
        <w:autoSpaceDN/>
        <w:bidi w:val="0"/>
        <w:adjustRightInd/>
        <w:spacing w:line="240" w:lineRule="auto"/>
        <w:ind w:firstLine="600"/>
        <w:textAlignment w:val="auto"/>
        <w:rPr>
          <w:rFonts w:hint="eastAsia" w:ascii="仿宋" w:hAnsi="仿宋" w:eastAsia="仿宋" w:cs="仿宋"/>
          <w:kern w:val="0"/>
          <w:sz w:val="30"/>
          <w:szCs w:val="30"/>
          <w:shd w:val="clear" w:color="auto" w:fill="FFFFFF"/>
          <w:lang w:val="en-US" w:eastAsia="zh-CN"/>
        </w:rPr>
      </w:pPr>
      <w:r>
        <w:rPr>
          <w:rFonts w:hint="eastAsia" w:ascii="仿宋" w:hAnsi="仿宋" w:eastAsia="仿宋" w:cs="仿宋"/>
          <w:kern w:val="0"/>
          <w:sz w:val="30"/>
          <w:szCs w:val="30"/>
          <w:shd w:val="clear" w:color="auto" w:fill="FFFFFF"/>
          <w:lang w:val="en-US" w:eastAsia="zh-CN"/>
        </w:rPr>
        <w:t>为进一步做好本市工程系列冶金专业高级职称的评审工作，根据《关于深化工程技术人才职称制度改革的指导意见》（人社部发〔2019〕16号）、《上海市职称评审管理办法》（沪人社规〔2021〕30号）、《关于进一步优化本市科技创新领域专业技术人才职称评聘工作的若干措施》（沪人社专〔2023〕111号）等有关文件精神，经上海市人力资源和社会保障局同意，现将2025年度上海市工程系列冶金专业高级职称评审工作通知如下：　</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一、评审机构和评审重点</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上海市工程系列冶金专业高级职称评审委员会（以下简称冶金高评委，或高评委），负责本市冶金专业高级工程师职称的评审工作。</w:t>
      </w:r>
    </w:p>
    <w:p>
      <w:pPr>
        <w:keepNext w:val="0"/>
        <w:keepLines w:val="0"/>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sz w:val="30"/>
          <w:szCs w:val="30"/>
        </w:rPr>
      </w:pPr>
      <w:bookmarkStart w:id="0" w:name="OLE_LINK1"/>
      <w:r>
        <w:rPr>
          <w:rFonts w:hint="eastAsia" w:ascii="仿宋" w:hAnsi="仿宋" w:eastAsia="仿宋" w:cs="仿宋"/>
          <w:sz w:val="30"/>
          <w:szCs w:val="30"/>
        </w:rPr>
        <w:t>今年评审工作重点：强化人才评价赋能</w:t>
      </w:r>
      <w:r>
        <w:rPr>
          <w:rFonts w:hint="eastAsia" w:ascii="仿宋" w:hAnsi="仿宋" w:eastAsia="仿宋" w:cs="仿宋"/>
          <w:sz w:val="30"/>
          <w:szCs w:val="30"/>
          <w:lang w:eastAsia="zh-CN"/>
        </w:rPr>
        <w:t>，</w:t>
      </w:r>
      <w:r>
        <w:rPr>
          <w:rFonts w:hint="eastAsia" w:ascii="仿宋" w:hAnsi="仿宋" w:eastAsia="仿宋" w:cs="仿宋"/>
          <w:sz w:val="30"/>
          <w:szCs w:val="30"/>
        </w:rPr>
        <w:t>加快推进</w:t>
      </w:r>
      <w:r>
        <w:rPr>
          <w:rFonts w:hint="eastAsia" w:ascii="仿宋" w:hAnsi="仿宋" w:eastAsia="仿宋" w:cs="仿宋"/>
          <w:sz w:val="30"/>
          <w:szCs w:val="30"/>
          <w:lang w:val="en-US" w:eastAsia="zh-CN"/>
        </w:rPr>
        <w:t>冶金</w:t>
      </w:r>
      <w:r>
        <w:rPr>
          <w:rFonts w:hint="eastAsia" w:ascii="仿宋" w:hAnsi="仿宋" w:eastAsia="仿宋" w:cs="仿宋"/>
          <w:sz w:val="30"/>
          <w:szCs w:val="30"/>
        </w:rPr>
        <w:t>产业的高端化、绿色化、智慧化、高效化，充分发挥人才评价“指挥棒”作用，克服唯学历、唯获奖、唯论文倾向，引导</w:t>
      </w:r>
      <w:r>
        <w:rPr>
          <w:rFonts w:hint="eastAsia" w:ascii="仿宋" w:hAnsi="仿宋" w:eastAsia="仿宋" w:cs="仿宋"/>
          <w:sz w:val="30"/>
          <w:szCs w:val="30"/>
          <w:lang w:val="en-US" w:eastAsia="zh-CN"/>
        </w:rPr>
        <w:t>冶金</w:t>
      </w:r>
      <w:r>
        <w:rPr>
          <w:rFonts w:hint="eastAsia" w:ascii="仿宋" w:hAnsi="仿宋" w:eastAsia="仿宋" w:cs="仿宋"/>
          <w:sz w:val="30"/>
          <w:szCs w:val="30"/>
        </w:rPr>
        <w:t>专业工程技术人员通过解决实际复杂工程问题，切实提高自身技术创新能力，为冶金产业的升级发展贡献力量。</w:t>
      </w:r>
    </w:p>
    <w:bookmarkEnd w:id="0"/>
    <w:p>
      <w:pPr>
        <w:keepNext w:val="0"/>
        <w:keepLines w:val="0"/>
        <w:pageBreakBefore w:val="0"/>
        <w:widowControl w:val="0"/>
        <w:numPr>
          <w:ilvl w:val="0"/>
          <w:numId w:val="1"/>
        </w:numPr>
        <w:kinsoku/>
        <w:wordWrap/>
        <w:overflowPunct/>
        <w:topLinePunct w:val="0"/>
        <w:autoSpaceDE/>
        <w:autoSpaceDN/>
        <w:bidi w:val="0"/>
        <w:adjustRightInd/>
        <w:spacing w:line="240" w:lineRule="auto"/>
        <w:ind w:left="420" w:leftChars="0" w:firstLine="0" w:firstLineChars="0"/>
        <w:textAlignment w:val="auto"/>
        <w:rPr>
          <w:rFonts w:hint="eastAsia" w:ascii="仿宋" w:hAnsi="仿宋" w:eastAsia="仿宋" w:cs="仿宋"/>
          <w:b/>
          <w:bCs/>
          <w:sz w:val="30"/>
          <w:szCs w:val="30"/>
        </w:rPr>
      </w:pPr>
      <w:r>
        <w:rPr>
          <w:rFonts w:hint="eastAsia" w:ascii="仿宋" w:hAnsi="仿宋" w:eastAsia="仿宋" w:cs="仿宋"/>
          <w:b/>
          <w:bCs/>
          <w:sz w:val="30"/>
          <w:szCs w:val="30"/>
        </w:rPr>
        <w:t>评审专业范围</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冶金高评委下设8个专业学科组，具体专业范围如下：</w:t>
      </w:r>
    </w:p>
    <w:p>
      <w:pPr>
        <w:keepNext w:val="0"/>
        <w:keepLines w:val="0"/>
        <w:pageBreakBefore w:val="0"/>
        <w:widowControl w:val="0"/>
        <w:numPr>
          <w:ilvl w:val="0"/>
          <w:numId w:val="2"/>
        </w:numPr>
        <w:kinsoku/>
        <w:wordWrap/>
        <w:overflowPunct/>
        <w:topLinePunct w:val="0"/>
        <w:autoSpaceDE/>
        <w:autoSpaceDN/>
        <w:bidi w:val="0"/>
        <w:adjustRightInd/>
        <w:spacing w:line="240" w:lineRule="auto"/>
        <w:ind w:left="-11" w:leftChars="0" w:firstLine="641"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bCs/>
          <w:sz w:val="30"/>
          <w:szCs w:val="30"/>
          <w:highlight w:val="none"/>
        </w:rPr>
        <w:t>钢铁冶金学科组：</w:t>
      </w:r>
      <w:r>
        <w:rPr>
          <w:rFonts w:hint="eastAsia" w:ascii="仿宋" w:hAnsi="仿宋" w:eastAsia="仿宋" w:cs="仿宋"/>
          <w:b w:val="0"/>
          <w:bCs w:val="0"/>
          <w:sz w:val="30"/>
          <w:szCs w:val="30"/>
          <w:highlight w:val="none"/>
        </w:rPr>
        <w:t>包括从事电炉、转炉、高炉冶炼、氢冶金、转底炉、浇铸、连续铸造、冶金工艺研究和开发的工程技术人员。</w:t>
      </w:r>
    </w:p>
    <w:p>
      <w:pPr>
        <w:keepNext w:val="0"/>
        <w:keepLines w:val="0"/>
        <w:pageBreakBefore w:val="0"/>
        <w:widowControl w:val="0"/>
        <w:numPr>
          <w:ilvl w:val="0"/>
          <w:numId w:val="2"/>
        </w:numPr>
        <w:kinsoku/>
        <w:wordWrap/>
        <w:overflowPunct/>
        <w:topLinePunct w:val="0"/>
        <w:autoSpaceDE/>
        <w:autoSpaceDN/>
        <w:bidi w:val="0"/>
        <w:adjustRightInd/>
        <w:spacing w:line="240" w:lineRule="auto"/>
        <w:ind w:left="-11" w:leftChars="0" w:firstLine="641"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bCs/>
          <w:sz w:val="30"/>
          <w:szCs w:val="30"/>
          <w:highlight w:val="none"/>
        </w:rPr>
        <w:t>压力加工学科组：</w:t>
      </w:r>
      <w:r>
        <w:rPr>
          <w:rFonts w:hint="eastAsia" w:ascii="仿宋" w:hAnsi="仿宋" w:eastAsia="仿宋" w:cs="仿宋"/>
          <w:b w:val="0"/>
          <w:bCs w:val="0"/>
          <w:sz w:val="30"/>
          <w:szCs w:val="30"/>
          <w:highlight w:val="none"/>
        </w:rPr>
        <w:t>包括从事金属轧制（板、带、丝、管及各类型材）、孔型设计及加工、轧前轧后处理、涂镀工艺、成形等的工程技术人员。</w:t>
      </w:r>
    </w:p>
    <w:p>
      <w:pPr>
        <w:keepNext w:val="0"/>
        <w:keepLines w:val="0"/>
        <w:pageBreakBefore w:val="0"/>
        <w:widowControl w:val="0"/>
        <w:numPr>
          <w:ilvl w:val="0"/>
          <w:numId w:val="2"/>
        </w:numPr>
        <w:kinsoku/>
        <w:wordWrap/>
        <w:overflowPunct/>
        <w:topLinePunct w:val="0"/>
        <w:autoSpaceDE/>
        <w:autoSpaceDN/>
        <w:bidi w:val="0"/>
        <w:adjustRightInd/>
        <w:spacing w:line="240" w:lineRule="auto"/>
        <w:ind w:left="-11" w:leftChars="0" w:firstLine="641"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bCs/>
          <w:sz w:val="30"/>
          <w:szCs w:val="30"/>
          <w:highlight w:val="none"/>
        </w:rPr>
        <w:t>冶金机械学科组：</w:t>
      </w:r>
      <w:r>
        <w:rPr>
          <w:rFonts w:hint="eastAsia" w:ascii="仿宋" w:hAnsi="仿宋" w:eastAsia="仿宋" w:cs="仿宋"/>
          <w:b w:val="0"/>
          <w:bCs w:val="0"/>
          <w:sz w:val="30"/>
          <w:szCs w:val="30"/>
          <w:highlight w:val="none"/>
        </w:rPr>
        <w:t>包括从事与冶金机械研发制造、机械设备检修技术、工业检测技术（机械类）、机械力学行为分析、机械仿真分析技术、承压类设备检验检测技术、起重运输设备、能源动力环保设备（侧重机械及材料方向）、液压传动及润滑设备、气动传动等相关专业的工程技术人员。</w:t>
      </w:r>
    </w:p>
    <w:p>
      <w:pPr>
        <w:keepNext w:val="0"/>
        <w:keepLines w:val="0"/>
        <w:pageBreakBefore w:val="0"/>
        <w:widowControl w:val="0"/>
        <w:numPr>
          <w:ilvl w:val="0"/>
          <w:numId w:val="2"/>
        </w:numPr>
        <w:kinsoku/>
        <w:wordWrap/>
        <w:overflowPunct/>
        <w:topLinePunct w:val="0"/>
        <w:autoSpaceDE/>
        <w:autoSpaceDN/>
        <w:bidi w:val="0"/>
        <w:adjustRightInd/>
        <w:spacing w:line="240" w:lineRule="auto"/>
        <w:ind w:left="-11" w:leftChars="0" w:firstLine="641"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bCs/>
          <w:sz w:val="30"/>
          <w:szCs w:val="30"/>
          <w:highlight w:val="none"/>
        </w:rPr>
        <w:t>冶金电气自动化学科组：</w:t>
      </w:r>
      <w:r>
        <w:rPr>
          <w:rFonts w:hint="eastAsia" w:ascii="仿宋" w:hAnsi="仿宋" w:eastAsia="仿宋" w:cs="仿宋"/>
          <w:b w:val="0"/>
          <w:bCs w:val="0"/>
          <w:sz w:val="30"/>
          <w:szCs w:val="30"/>
          <w:highlight w:val="none"/>
        </w:rPr>
        <w:t>包括工厂供配电，自备电厂发电，交直流传动，过程控制自动化与模型，检测仪器仪表，电气控制等的工程技术人员。</w:t>
      </w:r>
    </w:p>
    <w:p>
      <w:pPr>
        <w:keepNext w:val="0"/>
        <w:keepLines w:val="0"/>
        <w:pageBreakBefore w:val="0"/>
        <w:widowControl w:val="0"/>
        <w:numPr>
          <w:ilvl w:val="0"/>
          <w:numId w:val="2"/>
        </w:numPr>
        <w:kinsoku/>
        <w:wordWrap/>
        <w:overflowPunct/>
        <w:topLinePunct w:val="0"/>
        <w:autoSpaceDE/>
        <w:autoSpaceDN/>
        <w:bidi w:val="0"/>
        <w:adjustRightInd/>
        <w:spacing w:line="240" w:lineRule="auto"/>
        <w:ind w:left="-11" w:leftChars="0" w:firstLine="641"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bCs/>
          <w:sz w:val="30"/>
          <w:szCs w:val="30"/>
          <w:highlight w:val="none"/>
        </w:rPr>
        <w:t>冶金新材料学科组：</w:t>
      </w:r>
      <w:r>
        <w:rPr>
          <w:rFonts w:hint="eastAsia" w:ascii="仿宋" w:hAnsi="仿宋" w:eastAsia="仿宋" w:cs="仿宋"/>
          <w:b w:val="0"/>
          <w:bCs w:val="0"/>
          <w:sz w:val="30"/>
          <w:szCs w:val="30"/>
          <w:highlight w:val="none"/>
        </w:rPr>
        <w:t>包括从事冶金新材料、新工艺、新钢种的研究、开发及金属材料热处理、焊接、化学分析等的工程技术人员。</w:t>
      </w:r>
    </w:p>
    <w:p>
      <w:pPr>
        <w:keepNext w:val="0"/>
        <w:keepLines w:val="0"/>
        <w:pageBreakBefore w:val="0"/>
        <w:widowControl w:val="0"/>
        <w:numPr>
          <w:ilvl w:val="0"/>
          <w:numId w:val="2"/>
        </w:numPr>
        <w:kinsoku/>
        <w:wordWrap/>
        <w:overflowPunct/>
        <w:topLinePunct w:val="0"/>
        <w:autoSpaceDE/>
        <w:autoSpaceDN/>
        <w:bidi w:val="0"/>
        <w:adjustRightInd/>
        <w:spacing w:line="240" w:lineRule="auto"/>
        <w:ind w:left="-11" w:leftChars="0" w:firstLine="641"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bCs/>
          <w:sz w:val="30"/>
          <w:szCs w:val="30"/>
          <w:highlight w:val="none"/>
        </w:rPr>
        <w:t>冶金热能与环保学科组：</w:t>
      </w:r>
      <w:r>
        <w:rPr>
          <w:rFonts w:hint="eastAsia" w:ascii="仿宋" w:hAnsi="仿宋" w:eastAsia="仿宋" w:cs="仿宋"/>
          <w:b w:val="0"/>
          <w:bCs w:val="0"/>
          <w:sz w:val="30"/>
          <w:szCs w:val="30"/>
          <w:highlight w:val="none"/>
        </w:rPr>
        <w:t>包括从事冶金工厂的热工设备、燃烧装置、余热利用装置、炉窑设计、节能减排、能源高效利用、冶金新能源，以及工厂三废治理与综合利用、清洁生产、环境保护、工业生态等相关专业的工程技术人员。</w:t>
      </w:r>
    </w:p>
    <w:p>
      <w:pPr>
        <w:keepNext w:val="0"/>
        <w:keepLines w:val="0"/>
        <w:pageBreakBefore w:val="0"/>
        <w:widowControl w:val="0"/>
        <w:numPr>
          <w:ilvl w:val="0"/>
          <w:numId w:val="2"/>
        </w:numPr>
        <w:kinsoku/>
        <w:wordWrap/>
        <w:overflowPunct/>
        <w:topLinePunct w:val="0"/>
        <w:autoSpaceDE/>
        <w:autoSpaceDN/>
        <w:bidi w:val="0"/>
        <w:adjustRightInd/>
        <w:spacing w:line="240" w:lineRule="auto"/>
        <w:ind w:left="-11" w:leftChars="0" w:firstLine="641"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bCs/>
          <w:sz w:val="30"/>
          <w:szCs w:val="30"/>
          <w:highlight w:val="none"/>
        </w:rPr>
        <w:t>烧结与采（选）矿学科组：</w:t>
      </w:r>
      <w:r>
        <w:rPr>
          <w:rFonts w:hint="eastAsia" w:ascii="仿宋" w:hAnsi="仿宋" w:eastAsia="仿宋" w:cs="仿宋"/>
          <w:b w:val="0"/>
          <w:bCs w:val="0"/>
          <w:sz w:val="30"/>
          <w:szCs w:val="30"/>
          <w:highlight w:val="none"/>
        </w:rPr>
        <w:t>包括从事选矿、采矿、烧结、球团及矿井建设等相关专业的工程技术人员。</w:t>
      </w:r>
    </w:p>
    <w:p>
      <w:pPr>
        <w:keepNext w:val="0"/>
        <w:keepLines w:val="0"/>
        <w:pageBreakBefore w:val="0"/>
        <w:widowControl w:val="0"/>
        <w:numPr>
          <w:ilvl w:val="0"/>
          <w:numId w:val="2"/>
        </w:numPr>
        <w:kinsoku/>
        <w:wordWrap/>
        <w:overflowPunct/>
        <w:topLinePunct w:val="0"/>
        <w:autoSpaceDE/>
        <w:autoSpaceDN/>
        <w:bidi w:val="0"/>
        <w:adjustRightInd/>
        <w:spacing w:line="240" w:lineRule="auto"/>
        <w:ind w:left="-11" w:leftChars="0" w:firstLine="641" w:firstLineChars="0"/>
        <w:textAlignment w:val="auto"/>
        <w:rPr>
          <w:rFonts w:hint="eastAsia" w:ascii="仿宋" w:hAnsi="仿宋" w:eastAsia="仿宋" w:cs="仿宋"/>
          <w:b w:val="0"/>
          <w:bCs w:val="0"/>
          <w:sz w:val="30"/>
          <w:szCs w:val="30"/>
          <w:highlight w:val="none"/>
        </w:rPr>
      </w:pPr>
      <w:r>
        <w:rPr>
          <w:rFonts w:hint="eastAsia" w:ascii="仿宋" w:hAnsi="仿宋" w:eastAsia="仿宋" w:cs="仿宋"/>
          <w:b/>
          <w:bCs/>
          <w:sz w:val="30"/>
          <w:szCs w:val="30"/>
          <w:highlight w:val="none"/>
        </w:rPr>
        <w:t>冶金工程技术学科组：</w:t>
      </w:r>
      <w:r>
        <w:rPr>
          <w:rFonts w:hint="eastAsia" w:ascii="仿宋" w:hAnsi="仿宋" w:eastAsia="仿宋" w:cs="仿宋"/>
          <w:b w:val="0"/>
          <w:bCs w:val="0"/>
          <w:sz w:val="30"/>
          <w:szCs w:val="30"/>
          <w:highlight w:val="none"/>
        </w:rPr>
        <w:t>包括从事冶金工厂建设和技术改造，钢结构工程，工业厂房维护，冶金交通设施建设，物流管理，冶金副产品转化建材的工程技术人员。</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b/>
          <w:bCs/>
          <w:sz w:val="30"/>
          <w:szCs w:val="30"/>
        </w:rPr>
      </w:pPr>
      <w:r>
        <w:rPr>
          <w:rFonts w:hint="eastAsia" w:ascii="仿宋" w:hAnsi="仿宋" w:eastAsia="仿宋" w:cs="仿宋"/>
          <w:b/>
          <w:bCs/>
          <w:sz w:val="30"/>
          <w:szCs w:val="30"/>
        </w:rPr>
        <w:t>　　三、申报条件和要求</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　（一）基本条件</w:t>
      </w:r>
    </w:p>
    <w:p>
      <w:pPr>
        <w:keepNext w:val="0"/>
        <w:keepLines w:val="0"/>
        <w:pageBreakBefore w:val="0"/>
        <w:widowControl w:val="0"/>
        <w:kinsoku/>
        <w:wordWrap/>
        <w:overflowPunct/>
        <w:topLinePunct w:val="0"/>
        <w:autoSpaceDE/>
        <w:autoSpaceDN/>
        <w:bidi w:val="0"/>
        <w:adjustRightInd/>
        <w:spacing w:line="240" w:lineRule="auto"/>
        <w:ind w:firstLine="600"/>
        <w:textAlignment w:val="auto"/>
        <w:rPr>
          <w:rFonts w:hint="eastAsia" w:ascii="仿宋" w:hAnsi="仿宋" w:eastAsia="仿宋" w:cs="仿宋"/>
          <w:sz w:val="30"/>
          <w:szCs w:val="30"/>
        </w:rPr>
      </w:pPr>
      <w:r>
        <w:rPr>
          <w:rFonts w:hint="eastAsia" w:ascii="仿宋" w:hAnsi="仿宋" w:eastAsia="仿宋" w:cs="仿宋"/>
          <w:sz w:val="30"/>
          <w:szCs w:val="30"/>
        </w:rPr>
        <w:t>遵守宪法和国家法律、法规，恪守职业道德，具有良好的职业操守和从业行为。无不良诚信记录，无尚在有效期中的行政处罚。　</w:t>
      </w:r>
    </w:p>
    <w:p>
      <w:pPr>
        <w:keepNext w:val="0"/>
        <w:keepLines w:val="0"/>
        <w:pageBreakBefore w:val="0"/>
        <w:widowControl w:val="0"/>
        <w:kinsoku/>
        <w:wordWrap/>
        <w:overflowPunct/>
        <w:topLinePunct w:val="0"/>
        <w:autoSpaceDE/>
        <w:autoSpaceDN/>
        <w:bidi w:val="0"/>
        <w:adjustRightInd/>
        <w:spacing w:line="240" w:lineRule="auto"/>
        <w:ind w:firstLine="600"/>
        <w:textAlignment w:val="auto"/>
        <w:rPr>
          <w:rFonts w:hint="eastAsia" w:ascii="仿宋" w:hAnsi="仿宋" w:eastAsia="仿宋" w:cs="仿宋"/>
          <w:sz w:val="30"/>
          <w:szCs w:val="30"/>
        </w:rPr>
      </w:pPr>
      <w:r>
        <w:rPr>
          <w:rFonts w:hint="eastAsia" w:ascii="仿宋" w:hAnsi="仿宋" w:eastAsia="仿宋" w:cs="仿宋"/>
          <w:b/>
          <w:bCs/>
          <w:sz w:val="30"/>
          <w:szCs w:val="30"/>
        </w:rPr>
        <w:t>（二）岗位条件</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在本市企事业单位和社会组织相应专业技术岗位上工作的在职专业技术人员,受聘工程师职务（岗位），拟聘任高级工程师职务（岗位），至申报截止当日符合以下条件之一:（1）具有本市户籍;（2）持有有效期内的《上海市居住证》；（3）近2年内在本市累计缴纳社会保险满12个月，并受聘工程师专业职务的工程技术人员。</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2、下列情况者不在申报范围内：</w:t>
      </w:r>
    </w:p>
    <w:p>
      <w:pPr>
        <w:keepNext w:val="0"/>
        <w:keepLines w:val="0"/>
        <w:pageBreakBefore w:val="0"/>
        <w:widowControl w:val="0"/>
        <w:kinsoku/>
        <w:wordWrap/>
        <w:overflowPunct/>
        <w:topLinePunct w:val="0"/>
        <w:autoSpaceDE/>
        <w:autoSpaceDN/>
        <w:bidi w:val="0"/>
        <w:adjustRightInd/>
        <w:spacing w:line="240" w:lineRule="auto"/>
        <w:ind w:firstLine="604"/>
        <w:textAlignment w:val="auto"/>
        <w:rPr>
          <w:rFonts w:hint="eastAsia" w:ascii="仿宋" w:hAnsi="仿宋" w:eastAsia="仿宋" w:cs="仿宋"/>
          <w:sz w:val="30"/>
          <w:szCs w:val="30"/>
        </w:rPr>
      </w:pPr>
      <w:r>
        <w:rPr>
          <w:rFonts w:hint="eastAsia" w:ascii="仿宋" w:hAnsi="仿宋" w:eastAsia="仿宋" w:cs="仿宋"/>
          <w:sz w:val="30"/>
          <w:szCs w:val="30"/>
        </w:rPr>
        <w:t>（1）当年度已办理退休手续、达到法定退休年龄、拟办理弹性提前退休手续的人员。实施渐进式延迟退休政策后，因退休影响到职称和职业资格考评、专业技术职务聘任及相关工资待遇等问题，由本人负责。</w:t>
      </w:r>
    </w:p>
    <w:p>
      <w:pPr>
        <w:keepNext w:val="0"/>
        <w:keepLines w:val="0"/>
        <w:pageBreakBefore w:val="0"/>
        <w:widowControl w:val="0"/>
        <w:kinsoku/>
        <w:wordWrap/>
        <w:overflowPunct/>
        <w:topLinePunct w:val="0"/>
        <w:autoSpaceDE/>
        <w:autoSpaceDN/>
        <w:bidi w:val="0"/>
        <w:adjustRightInd/>
        <w:spacing w:line="240" w:lineRule="auto"/>
        <w:ind w:firstLine="604"/>
        <w:textAlignment w:val="auto"/>
        <w:rPr>
          <w:rFonts w:hint="eastAsia" w:ascii="仿宋" w:hAnsi="仿宋" w:eastAsia="仿宋" w:cs="仿宋"/>
          <w:sz w:val="30"/>
          <w:szCs w:val="30"/>
        </w:rPr>
      </w:pPr>
      <w:r>
        <w:rPr>
          <w:rFonts w:hint="eastAsia" w:ascii="仿宋" w:hAnsi="仿宋" w:eastAsia="仿宋" w:cs="仿宋"/>
          <w:sz w:val="30"/>
          <w:szCs w:val="30"/>
        </w:rPr>
        <w:t>（2）上一年度参加本市高级职称评审未获通过者（其后有重大业绩者除外，重大业绩指省部级以上获奖，或出版过专业论著）。</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（三）学历、资历条件</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1、获得理工类相关专业博士学位后，受聘工程师职务满2年。</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2、获得理工类相关专业硕士研究生学历，受聘工程师职务满5年。</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获得理工类相关专业大学本科学历，取得工程师任职资格并受聘工程师职务满5年；非理工类专业大学本科（含成人教育本科）毕业，须具备理工类相关专业大学专科学历，取得工程师任职资格并聘任工程师职务满7年以上。</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4、取得并受聘工程师职务后，通过成人教育获得理工类大学本科学历的，其取得学历后的资历不得少于一年。</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5、对评聘其它相关系列中级职称，后需要转到工程技术岗位的，一般须先转评工程师职称，并被聘任工程技术岗位满一年。</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6、对已取得符合沪人社专[2020]459号文件认可的专业技术类职业资格，并受聘工程师、符合学历、资历要求的。</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7、对从高技能岗位转到专业技术岗位人员，按沪人社专〔2021〕312号文件规定执行。</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8、破格申报</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（1）对于海外留学高层次人才、业绩突出的民营企业高层次人才，可向所在区人才服务中心，或市人才服务中心所属金融、航运、科创和高新技术分中心申请，通过“直通车”进行申报。</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具备理工类大学专科毕业，累计从事工程技术工作20年以上或理工类大学专科毕业后，连续从事工程技术工作12年以上的；或理工类大学本科毕业及以上学历，担任工程师职务3年以上未满5年的，需同时具备以下二个条件：</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①在工程师任职期间，在省、部级以上（含省、部级）专业刊物（有书刊号）上独立发表过2篇以上有较高学术水平的工程技术专业论文，并得到同行专家认可。</w:t>
      </w:r>
    </w:p>
    <w:p>
      <w:pPr>
        <w:keepNext w:val="0"/>
        <w:keepLines w:val="0"/>
        <w:pageBreakBefore w:val="0"/>
        <w:widowControl w:val="0"/>
        <w:kinsoku/>
        <w:wordWrap/>
        <w:overflowPunct/>
        <w:topLinePunct w:val="0"/>
        <w:autoSpaceDE/>
        <w:autoSpaceDN/>
        <w:bidi w:val="0"/>
        <w:adjustRightInd/>
        <w:spacing w:line="240" w:lineRule="auto"/>
        <w:ind w:firstLine="560"/>
        <w:textAlignment w:val="auto"/>
        <w:rPr>
          <w:rFonts w:hint="eastAsia" w:ascii="仿宋" w:hAnsi="仿宋" w:eastAsia="仿宋" w:cs="仿宋"/>
          <w:sz w:val="30"/>
          <w:szCs w:val="30"/>
        </w:rPr>
      </w:pPr>
      <w:r>
        <w:rPr>
          <w:rFonts w:hint="eastAsia" w:ascii="仿宋" w:hAnsi="仿宋" w:eastAsia="仿宋" w:cs="仿宋"/>
          <w:sz w:val="30"/>
          <w:szCs w:val="30"/>
        </w:rPr>
        <w:t>②在工程师任职期间，具备以下经历和业绩：取得国家级、省部级奖项（指科技进步奖、自然科学奖、技术发明奖等科学技术奖）的主要贡献者（具有个人证书），或者取得与本专业有关的发明专利授权且应用较好的发明者。</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9、受聘工程师任职资历计算至</w:t>
      </w:r>
      <w:r>
        <w:rPr>
          <w:rFonts w:hint="eastAsia" w:ascii="仿宋" w:hAnsi="仿宋" w:eastAsia="仿宋" w:cs="仿宋"/>
          <w:sz w:val="30"/>
          <w:szCs w:val="30"/>
          <w:lang w:eastAsia="zh-CN"/>
        </w:rPr>
        <w:t>2025</w:t>
      </w:r>
      <w:r>
        <w:rPr>
          <w:rFonts w:hint="eastAsia" w:ascii="仿宋" w:hAnsi="仿宋" w:eastAsia="仿宋" w:cs="仿宋"/>
          <w:sz w:val="30"/>
          <w:szCs w:val="30"/>
        </w:rPr>
        <w:t>年6月30日。</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非就业状态、在行政管理或工勤等岗位工作的经历不能作为专业技术工作经历。在计算时，因专业技术岗位变动、待岗待聘、长病假、参加全日制教育等不在本专业技术岗位工作的时间需相应扣除。</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受聘工程师职务，需提交单位出具的聘任文件或提供上海市人力资源和社会保障局统一印制《专业技术职务聘任表》（http://rsj.sh.gov.cn - 便民服务-表格下载-人事人才）。</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（四）工作业绩和专业能力要求</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在取得并受聘工程师期间，本人所从事的工程专业领域至少取得以下1项以上成果：</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（1）负责或主要参与的工程项目取得国家、省市或各委办局颁发的技术创新发明并获得个人或集体奖项（集体奖项需说明本人在其中的工作内容和承担的角色）；</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（2）取得与本专业相关的发明专利授权且应用较好的前三位发明者（需提供专利实施或应用情况材料）；</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（3）负责或主要参与列入省部级以上重点攻关项目、产学研项目，项目取得显著的经济和社会效益；</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（4）负责或主要参与本单位、行业协会或政府部门主导的技术项目，包括技术研究、改造、标准制定等，经有关权威机构评定、验收取得一定业绩成果的，并提供本人参与项目的证明或获得荣誉证书；</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（5）在负责或主要参与的本专业有关的工程项目（包括科研、生产、技术服务项目）中解决关键技术问题，或经有关机构评定、验收确认有重大技术创新，或取得显著的降本增效成果（需提供相关证明材料）；</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（6）在负责和主要参与的工程项目中，应用新理论、新技术、新材料、新工艺等方面有重大突破；</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（7）对工程项目管理、产品技术服务方面有突出技术贡献的。</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（8）高技能人才评审重点：解决生产难题、参与技术改造革新等方面的能力和贡献，着重考察技能技艺、工作实绩、生产效率、技术和专利发明、科研成果、技能竞赛成绩等。</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（五）论著论文/技术总结要求</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提交在受聘工程师期间撰写，与本人工作、专业内容密切相关的论文论著或技术总结，具备下列条件之一：</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（1）独立撰写并公开出版本专业较高水平学术论著（不含编著、教材）。</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（2）独立完成或以第一作者撰写并公开出版学术论文2篇（含）以上（合作撰写论文不超过3人）。</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独立完成或以第一作者撰写并公开出版学术论文1篇（合作撰写论文不超过3人），另应结合本人任职工程师期间为主承担的科研项目、生产项目或工程设计项目的技术工作，独立撰写技术工作总结1篇（含）以上。技术总结应阐明项目水平，并写明本人在项目中所承担的岗位职责、专业技术能力、创造性的作用贡献以及解决的技术难题。技术总结须由单位审核并出具申报人独立撰写的证明，并有2位同行专家（与申报人申报专业相同并具备正高级职称）针对该总结的评价推荐意见（同行专家评价推荐意见表，见附件3）。为确保申报人参与项目的真实性，须同时提供申报人主持或为主参与的项目立项、结项、验收、鉴定等相关材料。</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发表论文须于</w:t>
      </w:r>
      <w:r>
        <w:rPr>
          <w:rFonts w:hint="eastAsia" w:ascii="仿宋" w:hAnsi="仿宋" w:eastAsia="仿宋" w:cs="仿宋"/>
          <w:sz w:val="30"/>
          <w:szCs w:val="30"/>
          <w:lang w:eastAsia="zh-CN"/>
        </w:rPr>
        <w:t>2025</w:t>
      </w:r>
      <w:r>
        <w:rPr>
          <w:rFonts w:hint="eastAsia" w:ascii="仿宋" w:hAnsi="仿宋" w:eastAsia="仿宋" w:cs="仿宋"/>
          <w:sz w:val="30"/>
          <w:szCs w:val="30"/>
        </w:rPr>
        <w:t>年6月30日前已刊登，论文录用证明、报刊及电子论文等不作为申报依据。凡在材料申报截止日无法提供正式出版刊物的将不予受理。在专业核心刊物上公开发表的（以北大公布的核心期刊目录为准）可以酌情加分。</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论文/技术总结原稿字数须3000字（含）以上，申报者须确定其中1篇作为主审论文。若以外文发表的论文作为主审论文，需同时提供中文译稿，且专家审核时以中文内容为准；非主副审论文的外文论文请提供中文内容概要简介。</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大学毕业或学位论文，以及项目（工程）设计说明书、产品说明书，可行性研究、立项申请、结题报告以及项目技术报告、测试报告，产品标准，专利申请报告等不可作为申报论文。</w:t>
      </w:r>
    </w:p>
    <w:p>
      <w:pPr>
        <w:keepNext w:val="0"/>
        <w:keepLines w:val="0"/>
        <w:pageBreakBefore w:val="0"/>
        <w:widowControl w:val="0"/>
        <w:kinsoku/>
        <w:wordWrap/>
        <w:overflowPunct/>
        <w:topLinePunct w:val="0"/>
        <w:autoSpaceDE/>
        <w:autoSpaceDN/>
        <w:bidi w:val="0"/>
        <w:adjustRightInd/>
        <w:spacing w:line="240" w:lineRule="auto"/>
        <w:ind w:firstLine="600"/>
        <w:textAlignment w:val="auto"/>
        <w:rPr>
          <w:rFonts w:hint="eastAsia" w:ascii="仿宋" w:hAnsi="仿宋" w:eastAsia="仿宋" w:cs="仿宋"/>
          <w:sz w:val="30"/>
          <w:szCs w:val="30"/>
        </w:rPr>
      </w:pPr>
      <w:r>
        <w:rPr>
          <w:rFonts w:hint="eastAsia" w:ascii="仿宋" w:hAnsi="仿宋" w:eastAsia="仿宋" w:cs="仿宋"/>
          <w:sz w:val="30"/>
          <w:szCs w:val="30"/>
        </w:rPr>
        <w:t>评委会将对所提交的论文进行重合度检测，若有学术造假行为（包括使用“人工智能写作”）的，实行“一票否决”。</w:t>
      </w:r>
    </w:p>
    <w:p>
      <w:pPr>
        <w:keepNext w:val="0"/>
        <w:keepLines w:val="0"/>
        <w:pageBreakBefore w:val="0"/>
        <w:widowControl w:val="0"/>
        <w:kinsoku/>
        <w:wordWrap/>
        <w:overflowPunct/>
        <w:topLinePunct w:val="0"/>
        <w:autoSpaceDE/>
        <w:autoSpaceDN/>
        <w:bidi w:val="0"/>
        <w:adjustRightInd/>
        <w:spacing w:line="240" w:lineRule="auto"/>
        <w:ind w:firstLine="600"/>
        <w:textAlignment w:val="auto"/>
        <w:rPr>
          <w:rFonts w:hint="eastAsia" w:ascii="仿宋" w:hAnsi="仿宋" w:eastAsia="仿宋" w:cs="仿宋"/>
          <w:sz w:val="30"/>
          <w:szCs w:val="30"/>
        </w:rPr>
      </w:pPr>
      <w:r>
        <w:rPr>
          <w:rFonts w:hint="eastAsia" w:ascii="仿宋" w:hAnsi="仿宋" w:eastAsia="仿宋" w:cs="仿宋"/>
          <w:b/>
          <w:bCs/>
          <w:sz w:val="30"/>
          <w:szCs w:val="30"/>
        </w:rPr>
        <w:t>（六）单位工作考核</w:t>
      </w:r>
      <w:r>
        <w:rPr>
          <w:rFonts w:hint="eastAsia" w:ascii="仿宋" w:hAnsi="仿宋" w:eastAsia="仿宋" w:cs="仿宋"/>
          <w:b/>
          <w:bCs/>
          <w:sz w:val="30"/>
          <w:szCs w:val="30"/>
          <w:lang w:val="en-US" w:eastAsia="zh-CN"/>
        </w:rPr>
        <w:t>和公示</w:t>
      </w:r>
      <w:r>
        <w:rPr>
          <w:rFonts w:hint="eastAsia" w:ascii="仿宋" w:hAnsi="仿宋" w:eastAsia="仿宋" w:cs="仿宋"/>
          <w:b/>
          <w:bCs/>
          <w:sz w:val="30"/>
          <w:szCs w:val="30"/>
        </w:rPr>
        <w:t>要求</w:t>
      </w:r>
    </w:p>
    <w:p>
      <w:pPr>
        <w:keepNext w:val="0"/>
        <w:keepLines w:val="0"/>
        <w:pageBreakBefore w:val="0"/>
        <w:widowControl w:val="0"/>
        <w:kinsoku/>
        <w:wordWrap/>
        <w:overflowPunct/>
        <w:topLinePunct w:val="0"/>
        <w:autoSpaceDE/>
        <w:autoSpaceDN/>
        <w:bidi w:val="0"/>
        <w:adjustRightInd/>
        <w:spacing w:line="240" w:lineRule="auto"/>
        <w:ind w:firstLine="600"/>
        <w:textAlignment w:val="auto"/>
        <w:rPr>
          <w:rFonts w:hint="eastAsia" w:ascii="仿宋" w:hAnsi="仿宋" w:eastAsia="仿宋" w:cs="仿宋"/>
          <w:sz w:val="30"/>
          <w:szCs w:val="30"/>
        </w:rPr>
      </w:pPr>
      <w:r>
        <w:rPr>
          <w:rFonts w:hint="eastAsia" w:ascii="仿宋" w:hAnsi="仿宋" w:eastAsia="仿宋" w:cs="仿宋"/>
          <w:sz w:val="30"/>
          <w:szCs w:val="30"/>
        </w:rPr>
        <w:t>近三年业绩考核为称职及以上（由所在单位人事部门提供）。为确保职称申报程序公正，请在所在单位进行申报前公示，且公示结果为“无异议”。</w:t>
      </w:r>
    </w:p>
    <w:p>
      <w:pPr>
        <w:keepNext w:val="0"/>
        <w:keepLines w:val="0"/>
        <w:pageBreakBefore w:val="0"/>
        <w:widowControl w:val="0"/>
        <w:kinsoku/>
        <w:wordWrap/>
        <w:overflowPunct/>
        <w:topLinePunct w:val="0"/>
        <w:autoSpaceDE/>
        <w:autoSpaceDN/>
        <w:bidi w:val="0"/>
        <w:adjustRightInd/>
        <w:spacing w:line="240" w:lineRule="auto"/>
        <w:ind w:firstLine="600"/>
        <w:textAlignment w:val="auto"/>
        <w:rPr>
          <w:rFonts w:hint="eastAsia" w:ascii="仿宋" w:hAnsi="仿宋" w:eastAsia="仿宋" w:cs="仿宋"/>
          <w:b/>
          <w:bCs/>
          <w:sz w:val="30"/>
          <w:szCs w:val="30"/>
        </w:rPr>
      </w:pPr>
      <w:r>
        <w:rPr>
          <w:rFonts w:hint="eastAsia" w:ascii="仿宋" w:hAnsi="仿宋" w:eastAsia="仿宋" w:cs="仿宋"/>
          <w:b/>
          <w:bCs/>
          <w:sz w:val="30"/>
          <w:szCs w:val="30"/>
        </w:rPr>
        <w:t>（七）继续教育要求</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按照国家和本市相关文件要求，年度需完成</w:t>
      </w:r>
      <w:bookmarkStart w:id="1" w:name="_GoBack"/>
      <w:bookmarkEnd w:id="1"/>
      <w:r>
        <w:rPr>
          <w:rFonts w:hint="eastAsia" w:ascii="仿宋" w:hAnsi="仿宋" w:eastAsia="仿宋" w:cs="仿宋"/>
          <w:sz w:val="30"/>
          <w:szCs w:val="30"/>
        </w:rPr>
        <w:t>不少于</w:t>
      </w:r>
      <w:r>
        <w:rPr>
          <w:rFonts w:hint="eastAsia" w:ascii="仿宋" w:hAnsi="仿宋" w:eastAsia="仿宋" w:cs="仿宋"/>
          <w:sz w:val="30"/>
          <w:szCs w:val="30"/>
          <w:lang w:val="en-US" w:eastAsia="zh-CN"/>
        </w:rPr>
        <w:t>90</w:t>
      </w:r>
      <w:r>
        <w:rPr>
          <w:rFonts w:hint="eastAsia" w:ascii="仿宋" w:hAnsi="仿宋" w:eastAsia="仿宋" w:cs="仿宋"/>
          <w:sz w:val="30"/>
          <w:szCs w:val="30"/>
        </w:rPr>
        <w:t>学时（</w:t>
      </w:r>
      <w:r>
        <w:rPr>
          <w:rFonts w:hint="eastAsia" w:ascii="仿宋" w:hAnsi="仿宋" w:eastAsia="仿宋" w:cs="仿宋"/>
          <w:sz w:val="30"/>
          <w:szCs w:val="30"/>
          <w:lang w:val="en-US" w:eastAsia="zh-CN"/>
        </w:rPr>
        <w:t>30</w:t>
      </w:r>
      <w:r>
        <w:rPr>
          <w:rFonts w:hint="eastAsia" w:ascii="仿宋" w:hAnsi="仿宋" w:eastAsia="仿宋" w:cs="仿宋"/>
          <w:sz w:val="30"/>
          <w:szCs w:val="30"/>
        </w:rPr>
        <w:t>+</w:t>
      </w:r>
      <w:r>
        <w:rPr>
          <w:rFonts w:hint="eastAsia" w:ascii="仿宋" w:hAnsi="仿宋" w:eastAsia="仿宋" w:cs="仿宋"/>
          <w:sz w:val="30"/>
          <w:szCs w:val="30"/>
          <w:lang w:val="en-US" w:eastAsia="zh-CN"/>
        </w:rPr>
        <w:t>60</w:t>
      </w:r>
      <w:r>
        <w:rPr>
          <w:rFonts w:hint="eastAsia" w:ascii="仿宋" w:hAnsi="仿宋" w:eastAsia="仿宋" w:cs="仿宋"/>
          <w:sz w:val="30"/>
          <w:szCs w:val="30"/>
        </w:rPr>
        <w:t>）。具体如下：</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根据《关于进一步完善本市专业技术人员继续教育公需科目培训工作的通知》（沪人社专〔2024〕221号），2025年公需科目课程不再区分必修课程和选修课程。按照培训方式，公需科目课程分为录播课程和直播课程，目录范围内的录播课程和直播课程均可计入公需科目学时。本年度公需科目的考核周期为2023年至2025年，累计应完成90学时。</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（2）专业科目。3年内需累计完成不少于180学时（20</w:t>
      </w:r>
      <w:r>
        <w:rPr>
          <w:rFonts w:hint="eastAsia" w:ascii="仿宋" w:hAnsi="仿宋" w:eastAsia="仿宋" w:cs="仿宋"/>
          <w:sz w:val="30"/>
          <w:szCs w:val="30"/>
          <w:lang w:val="en-US" w:eastAsia="zh-CN"/>
        </w:rPr>
        <w:t>21</w:t>
      </w:r>
      <w:r>
        <w:rPr>
          <w:rFonts w:hint="eastAsia" w:ascii="仿宋" w:hAnsi="仿宋" w:eastAsia="仿宋" w:cs="仿宋"/>
          <w:sz w:val="30"/>
          <w:szCs w:val="30"/>
        </w:rPr>
        <w:t>年以后学时可计入）。各专业科目培训课程安排和报名事宜,请登录“上海市专业技术人员继续教育网”（https://www.sacee.org.cn）查询《关于申报冶金专业中、高级职称专业科目的有关通知》。</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（3）为鼓励工程技术人员持续学习和进行专业传承，申报人员另可提供理工类相关专业继续教育证明或授课记录证明（</w:t>
      </w:r>
      <w:r>
        <w:rPr>
          <w:rFonts w:hint="eastAsia" w:ascii="仿宋" w:hAnsi="仿宋" w:eastAsia="仿宋" w:cs="仿宋"/>
          <w:sz w:val="30"/>
          <w:szCs w:val="30"/>
          <w:lang w:val="en-US" w:eastAsia="zh-CN"/>
        </w:rPr>
        <w:t>BW</w:t>
      </w:r>
      <w:r>
        <w:rPr>
          <w:rFonts w:hint="eastAsia" w:ascii="仿宋" w:hAnsi="仿宋" w:eastAsia="仿宋" w:cs="仿宋"/>
          <w:sz w:val="30"/>
          <w:szCs w:val="30"/>
        </w:rPr>
        <w:t>HR系统截屏或其它证明材料），作为量化评价加分项。</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　（八）专家面谈要求</w:t>
      </w:r>
    </w:p>
    <w:p>
      <w:pPr>
        <w:keepNext w:val="0"/>
        <w:keepLines w:val="0"/>
        <w:pageBreakBefore w:val="0"/>
        <w:widowControl w:val="0"/>
        <w:kinsoku/>
        <w:wordWrap/>
        <w:overflowPunct/>
        <w:topLinePunct w:val="0"/>
        <w:autoSpaceDE/>
        <w:autoSpaceDN/>
        <w:bidi w:val="0"/>
        <w:adjustRightInd/>
        <w:spacing w:line="240" w:lineRule="auto"/>
        <w:ind w:firstLine="420"/>
        <w:textAlignment w:val="auto"/>
        <w:rPr>
          <w:rFonts w:hint="eastAsia" w:ascii="仿宋" w:hAnsi="仿宋" w:eastAsia="仿宋" w:cs="仿宋"/>
          <w:sz w:val="30"/>
          <w:szCs w:val="30"/>
        </w:rPr>
      </w:pPr>
      <w:r>
        <w:rPr>
          <w:rFonts w:hint="eastAsia" w:ascii="仿宋" w:hAnsi="仿宋" w:eastAsia="仿宋" w:cs="仿宋"/>
          <w:sz w:val="30"/>
          <w:szCs w:val="30"/>
        </w:rPr>
        <w:t>为更好、更客观地了解申报人的学术水平和能力业绩，在专业学科组推荐评价阶段将开展对申报人员的专家面谈答疑工作。答辩安排将通过申报平台短信通知，无故缺席视为放弃评审。</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b/>
          <w:bCs/>
          <w:sz w:val="30"/>
          <w:szCs w:val="30"/>
        </w:rPr>
      </w:pPr>
      <w:r>
        <w:rPr>
          <w:rFonts w:hint="eastAsia" w:ascii="仿宋" w:hAnsi="仿宋" w:eastAsia="仿宋" w:cs="仿宋"/>
          <w:sz w:val="30"/>
          <w:szCs w:val="30"/>
        </w:rPr>
        <w:t>　　</w:t>
      </w:r>
      <w:r>
        <w:rPr>
          <w:rFonts w:hint="eastAsia" w:ascii="仿宋" w:hAnsi="仿宋" w:eastAsia="仿宋" w:cs="仿宋"/>
          <w:b/>
          <w:bCs/>
          <w:sz w:val="30"/>
          <w:szCs w:val="30"/>
        </w:rPr>
        <w:t>四、申报流程及方法</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b/>
          <w:bCs/>
          <w:sz w:val="30"/>
          <w:szCs w:val="30"/>
        </w:rPr>
      </w:pPr>
      <w:r>
        <w:rPr>
          <w:rFonts w:hint="eastAsia" w:ascii="仿宋" w:hAnsi="仿宋" w:eastAsia="仿宋" w:cs="仿宋"/>
          <w:b/>
          <w:bCs/>
          <w:sz w:val="30"/>
          <w:szCs w:val="30"/>
        </w:rPr>
        <w:t>　　（一）个人申报</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　1、申报时段</w:t>
      </w:r>
    </w:p>
    <w:p>
      <w:pPr>
        <w:keepNext w:val="0"/>
        <w:keepLines w:val="0"/>
        <w:pageBreakBefore w:val="0"/>
        <w:widowControl w:val="0"/>
        <w:kinsoku/>
        <w:wordWrap/>
        <w:overflowPunct/>
        <w:topLinePunct w:val="0"/>
        <w:autoSpaceDE/>
        <w:autoSpaceDN/>
        <w:bidi w:val="0"/>
        <w:adjustRightInd/>
        <w:spacing w:line="240" w:lineRule="auto"/>
        <w:ind w:firstLine="560"/>
        <w:textAlignment w:val="auto"/>
        <w:rPr>
          <w:rFonts w:hint="eastAsia" w:ascii="仿宋" w:hAnsi="仿宋" w:eastAsia="仿宋" w:cs="仿宋"/>
          <w:sz w:val="30"/>
          <w:szCs w:val="30"/>
          <w:highlight w:val="none"/>
        </w:rPr>
      </w:pPr>
      <w:r>
        <w:rPr>
          <w:rFonts w:hint="eastAsia" w:ascii="仿宋" w:hAnsi="仿宋" w:eastAsia="仿宋" w:cs="仿宋"/>
          <w:sz w:val="30"/>
          <w:szCs w:val="30"/>
          <w:highlight w:val="none"/>
          <w:lang w:eastAsia="zh-CN"/>
        </w:rPr>
        <w:t>2025</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7</w:t>
      </w:r>
      <w:r>
        <w:rPr>
          <w:rFonts w:hint="eastAsia" w:ascii="仿宋" w:hAnsi="仿宋" w:eastAsia="仿宋" w:cs="仿宋"/>
          <w:sz w:val="30"/>
          <w:szCs w:val="30"/>
          <w:highlight w:val="none"/>
        </w:rPr>
        <w:t>月</w:t>
      </w:r>
      <w:r>
        <w:rPr>
          <w:rFonts w:hint="eastAsia" w:ascii="仿宋" w:hAnsi="仿宋" w:eastAsia="仿宋" w:cs="仿宋"/>
          <w:sz w:val="30"/>
          <w:szCs w:val="30"/>
          <w:highlight w:val="none"/>
          <w:lang w:val="en-US" w:eastAsia="zh-CN"/>
        </w:rPr>
        <w:t>1</w:t>
      </w:r>
      <w:r>
        <w:rPr>
          <w:rFonts w:hint="eastAsia" w:ascii="仿宋" w:hAnsi="仿宋" w:eastAsia="仿宋" w:cs="仿宋"/>
          <w:sz w:val="30"/>
          <w:szCs w:val="30"/>
          <w:highlight w:val="none"/>
        </w:rPr>
        <w:t>日0时起至</w:t>
      </w:r>
      <w:r>
        <w:rPr>
          <w:rFonts w:hint="eastAsia" w:ascii="仿宋" w:hAnsi="仿宋" w:eastAsia="仿宋" w:cs="仿宋"/>
          <w:sz w:val="30"/>
          <w:szCs w:val="30"/>
          <w:highlight w:val="none"/>
          <w:lang w:val="en-US" w:eastAsia="zh-CN"/>
        </w:rPr>
        <w:t>7</w:t>
      </w:r>
      <w:r>
        <w:rPr>
          <w:rFonts w:hint="eastAsia" w:ascii="仿宋" w:hAnsi="仿宋" w:eastAsia="仿宋" w:cs="仿宋"/>
          <w:sz w:val="30"/>
          <w:szCs w:val="30"/>
          <w:highlight w:val="none"/>
        </w:rPr>
        <w:t>月</w:t>
      </w:r>
      <w:r>
        <w:rPr>
          <w:rFonts w:hint="eastAsia" w:ascii="仿宋" w:hAnsi="仿宋" w:eastAsia="仿宋" w:cs="仿宋"/>
          <w:sz w:val="30"/>
          <w:szCs w:val="30"/>
          <w:highlight w:val="none"/>
          <w:lang w:val="en-US" w:eastAsia="zh-CN"/>
        </w:rPr>
        <w:t>25</w:t>
      </w:r>
      <w:r>
        <w:rPr>
          <w:rFonts w:hint="eastAsia" w:ascii="仿宋" w:hAnsi="仿宋" w:eastAsia="仿宋" w:cs="仿宋"/>
          <w:sz w:val="30"/>
          <w:szCs w:val="30"/>
          <w:highlight w:val="none"/>
        </w:rPr>
        <w:t>日0时止。</w:t>
      </w:r>
    </w:p>
    <w:p>
      <w:pPr>
        <w:keepNext w:val="0"/>
        <w:keepLines w:val="0"/>
        <w:pageBreakBefore w:val="0"/>
        <w:widowControl w:val="0"/>
        <w:kinsoku/>
        <w:wordWrap/>
        <w:overflowPunct/>
        <w:topLinePunct w:val="0"/>
        <w:autoSpaceDE/>
        <w:autoSpaceDN/>
        <w:bidi w:val="0"/>
        <w:adjustRightInd/>
        <w:spacing w:line="240" w:lineRule="auto"/>
        <w:ind w:firstLine="560"/>
        <w:textAlignment w:val="auto"/>
        <w:rPr>
          <w:rFonts w:hint="eastAsia" w:ascii="仿宋" w:hAnsi="仿宋" w:eastAsia="仿宋" w:cs="仿宋"/>
          <w:sz w:val="30"/>
          <w:szCs w:val="30"/>
        </w:rPr>
      </w:pPr>
      <w:r>
        <w:rPr>
          <w:rFonts w:hint="eastAsia" w:ascii="仿宋" w:hAnsi="仿宋" w:eastAsia="仿宋" w:cs="仿宋"/>
          <w:b/>
          <w:bCs/>
          <w:sz w:val="30"/>
          <w:szCs w:val="30"/>
        </w:rPr>
        <w:t>2、申报办法</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（1）登录上海市人力资源和社会保障局公共服务平台（</w:t>
      </w:r>
      <w:r>
        <w:rPr>
          <w:rFonts w:hint="eastAsia" w:ascii="仿宋" w:hAnsi="仿宋" w:eastAsia="仿宋" w:cs="仿宋"/>
          <w:sz w:val="30"/>
          <w:szCs w:val="30"/>
          <w:highlight w:val="none"/>
        </w:rPr>
        <w:t>http://ggfw.rsj.sh.gov.cn</w:t>
      </w:r>
      <w:r>
        <w:rPr>
          <w:rFonts w:hint="eastAsia" w:ascii="仿宋" w:hAnsi="仿宋" w:eastAsia="仿宋" w:cs="仿宋"/>
          <w:sz w:val="30"/>
          <w:szCs w:val="30"/>
        </w:rPr>
        <w:t>）-网上办事-职称申报-上海市职称服务系统，在“高级职称评审通知”【工程农业类】栏目中点击“冶金专业评审通知”，点击要申报的专业学科组，点击确认“申报此项目”；</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（2）使用“随申办市民云”APP或微信/支付宝小程序扫码登录申报平台（未申请使用过“随申码”的，须先点击【去注册】完善用户信息）；</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按要求填报、上传规定的申报信息和附件（具体要求见“冶金高评委网上填写申报材料要求”（附件1），填报上传完成后，经检查无误，点击提交，同时打印申报表（请确认上传附件不携带病毒，否则可能导致材料上传不完整而影响评审）。</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3、申报提交材料</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（1）《高级职称评定申报表》2份</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除纸质版《高级职称评定申报表》外，申报人需将完整的评定申报表（包含单位审核意见盖章和个人承诺签名）做成一个PDF文件彩色扫描后上传至职称申报系统的“附件资料栏”。</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（2）主、副审论文1份、其他论文1份</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公开发表论文上传时需包含杂志封面、目录和文章页彩色扫描件；项目技术总结报告作为论文上传时需包含文章内容、单位出具的项目情况证明、推荐专家出具书面签名等推荐材料。</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（3）上传单位对申报表中的“业绩、论文、论著等情况”的核实意见（须盖章原件），上传在“单位意见”栏中。</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4）各类评审附件的原件（复印件加盖单位审核章）一册，包括：a、学历、学位证书（高中起始的学历或学位证明）；b、职称证书；c、专业技术职务聘任证书；d、岗位聘书；e、继续教育培训合格证书；f、专业技术成果、获奖证书及其重要业绩方面证明材料；g、申报者身份证或居住证及居住证副联。</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5）职称外语和计算机应用能力考试成绩不再作为申报本评委会的前置条件，但外语和计算机能力作为专业技术人员学习研究的重要工具，也是技术人员综合能力素质的体现，因此，申报人如有能证明自己外语水平和计算机水平材料（外语、计算机能力证明可提交材料范围，见附件4）可自愿提供，在“附件资料栏”上传作为量化评价加分项。</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4、申报注意事项</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网络申报系统设有申报截止日期，此截止日期是指申报者完成内容填报，并进行第一次提交的日期。不包括提交后评委会要求后续修改提交，申报者必须在此日期前完成第一次申报提交，否则将无法参加今年的评审。</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（2）申报人务必在基本信息页填报本人手机号，便于评委会通过电话方式联系。</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申报人在网上申报时将所有申报信息填写完整，并确保与纸质材料的内容完全一致，专家评审时以网上上传材料内容为准。申报人员应如实报送材料，如发现有弄虚作假行为，将取消本年度评审资格，并记入诚信档案。</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4）申报人完成第一次提交后，要经常登录申报系统查看评审进程，若出现评委会退回的状况，请抓紧根据评委会提出的修改、补充材料要求进行修改，并勿忘修改后再次提交。未在评委会通知日期前完成修改并提交，视为放弃今年评审。</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（二）组织审核</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（1）单位对申报者提供的各类证书及证明材料逐一核实后，在复印件上注明“与原件核对无误”字样，并加盖人事部门章。</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（2）协助提供申报人近三年年度考核情况。</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对申报人的技术业务能力水平进行考核评价，对申报人提交《高级职称评审申报表》、《申报自荐综合材料》所填内容进行审核，并在上述表式中“所在单位核实意见”栏内填写核实评价意见、盖章（单位审核意见模板请见附件2）。凡未写入核实的其他内容在评审时不能作为主要业绩对待。</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（4）申报人是事业单位编制的，单位须在核实意见栏填写事业单位缺额申报的情况，并由本单位人事部门和上一级（局级）人事部门盖章确认。</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（5）为确保职称申报程序公正，所在单位对申报人提出的职称申报情况应在相关范围内予以公示。</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（三）受理审核</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评委办公室将对网上申报材料进行初审，并对</w:t>
      </w:r>
      <w:r>
        <w:rPr>
          <w:rFonts w:hint="eastAsia" w:ascii="仿宋" w:hAnsi="仿宋" w:eastAsia="仿宋" w:cs="仿宋"/>
          <w:sz w:val="30"/>
          <w:szCs w:val="30"/>
          <w:lang w:val="en-US" w:eastAsia="zh-CN"/>
        </w:rPr>
        <w:t>材料</w:t>
      </w:r>
      <w:r>
        <w:rPr>
          <w:rFonts w:hint="eastAsia" w:ascii="仿宋" w:hAnsi="仿宋" w:eastAsia="仿宋" w:cs="仿宋"/>
          <w:sz w:val="30"/>
          <w:szCs w:val="30"/>
        </w:rPr>
        <w:t>有问题者提出修改要求。申报人应经常关注评审进程，并</w:t>
      </w:r>
      <w:r>
        <w:rPr>
          <w:rFonts w:hint="eastAsia" w:ascii="仿宋" w:hAnsi="仿宋" w:eastAsia="仿宋" w:cs="仿宋"/>
          <w:sz w:val="30"/>
          <w:szCs w:val="30"/>
          <w:lang w:val="en-US" w:eastAsia="zh-CN"/>
        </w:rPr>
        <w:t>按时间节点</w:t>
      </w:r>
      <w:r>
        <w:rPr>
          <w:rFonts w:hint="eastAsia" w:ascii="仿宋" w:hAnsi="仿宋" w:eastAsia="仿宋" w:cs="仿宋"/>
          <w:sz w:val="30"/>
          <w:szCs w:val="30"/>
        </w:rPr>
        <w:t>要求完成修改上报。在修改截止日前，未按要求进行修改上报的，将视为放弃申报。</w:t>
      </w:r>
    </w:p>
    <w:p>
      <w:pPr>
        <w:keepNext w:val="0"/>
        <w:keepLines w:val="0"/>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对初审通过人员将给予受理号，通过申报平台短信通知。</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五、纸质材料报送</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（一）报送要求</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评审材料袋（档案袋）上请贴“申报冶金高级工程师评审材料目录”（附件5），并注明申报评审的学科组、受理号、申报人姓名、单位、联系手机。</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（二）报送材料时间、地点</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lang w:eastAsia="zh-CN"/>
        </w:rPr>
        <w:t>2025</w:t>
      </w:r>
      <w:r>
        <w:rPr>
          <w:rFonts w:hint="eastAsia" w:ascii="仿宋" w:hAnsi="仿宋" w:eastAsia="仿宋" w:cs="仿宋"/>
          <w:sz w:val="30"/>
          <w:szCs w:val="30"/>
          <w:highlight w:val="none"/>
        </w:rPr>
        <w:t>年</w:t>
      </w:r>
      <w:r>
        <w:rPr>
          <w:rFonts w:hint="eastAsia" w:ascii="仿宋" w:hAnsi="仿宋" w:eastAsia="仿宋" w:cs="仿宋"/>
          <w:sz w:val="30"/>
          <w:szCs w:val="30"/>
          <w:highlight w:val="none"/>
          <w:lang w:val="en-US" w:eastAsia="zh-CN"/>
        </w:rPr>
        <w:t>8</w:t>
      </w:r>
      <w:r>
        <w:rPr>
          <w:rFonts w:hint="eastAsia" w:ascii="仿宋" w:hAnsi="仿宋" w:eastAsia="仿宋" w:cs="仿宋"/>
          <w:sz w:val="30"/>
          <w:szCs w:val="30"/>
          <w:highlight w:val="none"/>
        </w:rPr>
        <w:t>月</w:t>
      </w:r>
      <w:r>
        <w:rPr>
          <w:rFonts w:hint="eastAsia" w:ascii="仿宋" w:hAnsi="仿宋" w:eastAsia="仿宋" w:cs="仿宋"/>
          <w:sz w:val="30"/>
          <w:szCs w:val="30"/>
          <w:highlight w:val="none"/>
          <w:lang w:val="en-US" w:eastAsia="zh-CN"/>
        </w:rPr>
        <w:t>25</w:t>
      </w:r>
      <w:r>
        <w:rPr>
          <w:rFonts w:hint="eastAsia" w:ascii="仿宋" w:hAnsi="仿宋" w:eastAsia="仿宋" w:cs="仿宋"/>
          <w:sz w:val="30"/>
          <w:szCs w:val="30"/>
          <w:highlight w:val="none"/>
        </w:rPr>
        <w:t>日至</w:t>
      </w:r>
      <w:r>
        <w:rPr>
          <w:rFonts w:hint="eastAsia" w:ascii="仿宋" w:hAnsi="仿宋" w:eastAsia="仿宋" w:cs="仿宋"/>
          <w:sz w:val="30"/>
          <w:szCs w:val="30"/>
          <w:highlight w:val="none"/>
          <w:lang w:val="en-US" w:eastAsia="zh-CN"/>
        </w:rPr>
        <w:t>29</w:t>
      </w:r>
      <w:r>
        <w:rPr>
          <w:rFonts w:hint="eastAsia" w:ascii="仿宋" w:hAnsi="仿宋" w:eastAsia="仿宋" w:cs="仿宋"/>
          <w:sz w:val="30"/>
          <w:szCs w:val="30"/>
          <w:highlight w:val="none"/>
        </w:rPr>
        <w:t>日</w:t>
      </w:r>
      <w:r>
        <w:rPr>
          <w:rFonts w:hint="eastAsia" w:ascii="仿宋" w:hAnsi="仿宋" w:eastAsia="仿宋" w:cs="仿宋"/>
          <w:sz w:val="30"/>
          <w:szCs w:val="30"/>
        </w:rPr>
        <w:t>，宝山区长江路868号1号楼302室</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b/>
          <w:bCs/>
          <w:sz w:val="30"/>
          <w:szCs w:val="30"/>
        </w:rPr>
      </w:pPr>
      <w:r>
        <w:rPr>
          <w:rFonts w:hint="eastAsia" w:ascii="仿宋" w:hAnsi="仿宋" w:eastAsia="仿宋" w:cs="仿宋"/>
          <w:b/>
          <w:bCs/>
          <w:sz w:val="30"/>
          <w:szCs w:val="30"/>
        </w:rPr>
        <w:t>　　六、评审费用</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（1）缴费方式</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申报材料通过初审，取得受理号后由申报者至银行柜面或通过网上银行交纳，评审费用：1200元/人。请在备注栏内注明“受理号+申报者姓名+</w:t>
      </w:r>
      <w:r>
        <w:rPr>
          <w:rFonts w:hint="eastAsia" w:ascii="仿宋" w:hAnsi="仿宋" w:eastAsia="仿宋" w:cs="仿宋"/>
          <w:sz w:val="30"/>
          <w:szCs w:val="30"/>
          <w:lang w:eastAsia="zh-CN"/>
        </w:rPr>
        <w:t>2025</w:t>
      </w:r>
      <w:r>
        <w:rPr>
          <w:rFonts w:hint="eastAsia" w:ascii="仿宋" w:hAnsi="仿宋" w:eastAsia="仿宋" w:cs="仿宋"/>
          <w:sz w:val="30"/>
          <w:szCs w:val="30"/>
        </w:rPr>
        <w:t>年高级工程师评审费”。</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（2）缴费帐号：</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中国宝武钢铁集团有限公司</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（建行上海宝钢宝山支行（31001517700050037964））</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（3）缴费凭证：</w:t>
      </w:r>
    </w:p>
    <w:p>
      <w:pPr>
        <w:keepNext w:val="0"/>
        <w:keepLines w:val="0"/>
        <w:pageBreakBefore w:val="0"/>
        <w:widowControl w:val="0"/>
        <w:kinsoku/>
        <w:wordWrap/>
        <w:overflowPunct/>
        <w:topLinePunct w:val="0"/>
        <w:autoSpaceDE/>
        <w:autoSpaceDN/>
        <w:bidi w:val="0"/>
        <w:adjustRightInd/>
        <w:spacing w:line="240" w:lineRule="auto"/>
        <w:ind w:firstLine="420"/>
        <w:textAlignment w:val="auto"/>
        <w:rPr>
          <w:rFonts w:hint="eastAsia" w:ascii="仿宋" w:hAnsi="仿宋" w:eastAsia="仿宋" w:cs="仿宋"/>
          <w:sz w:val="30"/>
          <w:szCs w:val="30"/>
        </w:rPr>
      </w:pPr>
      <w:r>
        <w:rPr>
          <w:rFonts w:hint="eastAsia" w:ascii="仿宋" w:hAnsi="仿宋" w:eastAsia="仿宋" w:cs="仿宋"/>
          <w:sz w:val="30"/>
          <w:szCs w:val="30"/>
        </w:rPr>
        <w:t>凭银行缴费回执（原件）或打印网上银行转账单据到所在单位人力资源部门提交申报高级工程师书面材料（随纸质材料一起交评委会办公室）。</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w:t>
      </w:r>
      <w:r>
        <w:rPr>
          <w:rFonts w:hint="eastAsia" w:ascii="仿宋" w:hAnsi="仿宋" w:eastAsia="仿宋" w:cs="仿宋"/>
          <w:b/>
          <w:bCs/>
          <w:sz w:val="30"/>
          <w:szCs w:val="30"/>
        </w:rPr>
        <w:t>七、咨询联系</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中国宝武钢铁集团有限公司职称工作办公室（宝武管理研修院）</w:t>
      </w:r>
    </w:p>
    <w:p>
      <w:pPr>
        <w:keepNext w:val="0"/>
        <w:keepLines w:val="0"/>
        <w:pageBreakBefore w:val="0"/>
        <w:widowControl w:val="0"/>
        <w:kinsoku/>
        <w:wordWrap/>
        <w:overflowPunct/>
        <w:topLinePunct w:val="0"/>
        <w:autoSpaceDE/>
        <w:autoSpaceDN/>
        <w:bidi w:val="0"/>
        <w:adjustRightInd/>
        <w:spacing w:line="240" w:lineRule="auto"/>
        <w:ind w:firstLine="600"/>
        <w:jc w:val="left"/>
        <w:textAlignment w:val="auto"/>
        <w:rPr>
          <w:rFonts w:hint="eastAsia" w:ascii="仿宋" w:hAnsi="仿宋" w:eastAsia="仿宋" w:cs="仿宋"/>
          <w:sz w:val="30"/>
          <w:szCs w:val="30"/>
        </w:rPr>
      </w:pPr>
      <w:r>
        <w:rPr>
          <w:rFonts w:hint="eastAsia" w:ascii="仿宋" w:hAnsi="仿宋" w:eastAsia="仿宋" w:cs="仿宋"/>
          <w:sz w:val="30"/>
          <w:szCs w:val="30"/>
        </w:rPr>
        <w:t>联系人：于老师　</w:t>
      </w:r>
      <w:r>
        <w:rPr>
          <w:rFonts w:hint="eastAsia" w:ascii="仿宋" w:hAnsi="仿宋" w:eastAsia="仿宋" w:cs="仿宋"/>
          <w:sz w:val="30"/>
          <w:szCs w:val="30"/>
          <w:lang w:val="en-US" w:eastAsia="zh-CN"/>
        </w:rPr>
        <w:t>电话：</w:t>
      </w:r>
      <w:r>
        <w:rPr>
          <w:rFonts w:hint="eastAsia" w:ascii="仿宋" w:hAnsi="仿宋" w:eastAsia="仿宋" w:cs="仿宋"/>
          <w:sz w:val="30"/>
          <w:szCs w:val="30"/>
        </w:rPr>
        <w:t>20658279</w:t>
      </w:r>
    </w:p>
    <w:p>
      <w:pPr>
        <w:keepNext w:val="0"/>
        <w:keepLines w:val="0"/>
        <w:pageBreakBefore w:val="0"/>
        <w:widowControl w:val="0"/>
        <w:kinsoku/>
        <w:wordWrap/>
        <w:overflowPunct/>
        <w:topLinePunct w:val="0"/>
        <w:autoSpaceDE/>
        <w:autoSpaceDN/>
        <w:bidi w:val="0"/>
        <w:adjustRightInd/>
        <w:spacing w:line="240" w:lineRule="auto"/>
        <w:ind w:firstLine="600"/>
        <w:jc w:val="left"/>
        <w:textAlignment w:val="auto"/>
        <w:rPr>
          <w:rFonts w:hint="eastAsia" w:ascii="仿宋" w:hAnsi="仿宋" w:eastAsia="仿宋" w:cs="仿宋"/>
          <w:sz w:val="30"/>
          <w:szCs w:val="30"/>
        </w:rPr>
      </w:pPr>
      <w:r>
        <w:rPr>
          <w:rFonts w:hint="eastAsia" w:ascii="仿宋" w:hAnsi="仿宋" w:eastAsia="仿宋" w:cs="仿宋"/>
          <w:sz w:val="30"/>
          <w:szCs w:val="30"/>
        </w:rPr>
        <w:t>电子邮箱：</w:t>
      </w:r>
      <w:r>
        <w:rPr>
          <w:rFonts w:hint="eastAsia" w:ascii="仿宋" w:hAnsi="仿宋" w:eastAsia="仿宋" w:cs="仿宋"/>
          <w:sz w:val="30"/>
          <w:szCs w:val="30"/>
          <w:lang w:val="en-US" w:eastAsia="zh-CN"/>
        </w:rPr>
        <w:t>yumin</w:t>
      </w:r>
      <w:r>
        <w:rPr>
          <w:rFonts w:hint="eastAsia" w:ascii="仿宋" w:hAnsi="仿宋" w:eastAsia="仿宋" w:cs="仿宋"/>
          <w:sz w:val="30"/>
          <w:szCs w:val="30"/>
        </w:rPr>
        <w:t>@baosteel.com</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r>
        <w:rPr>
          <w:rFonts w:hint="eastAsia" w:ascii="仿宋" w:hAnsi="仿宋" w:eastAsia="仿宋" w:cs="仿宋"/>
          <w:sz w:val="30"/>
          <w:szCs w:val="30"/>
        </w:rPr>
        <w:t>　　特别提示： 本评委会从未委托任何单位或个人进行职称代办及咨询服务。</w:t>
      </w:r>
    </w:p>
    <w:p>
      <w:pPr>
        <w:keepNext w:val="0"/>
        <w:keepLines w:val="0"/>
        <w:pageBreakBefore w:val="0"/>
        <w:widowControl w:val="0"/>
        <w:kinsoku/>
        <w:wordWrap/>
        <w:overflowPunct/>
        <w:topLinePunct w:val="0"/>
        <w:autoSpaceDE/>
        <w:autoSpaceDN/>
        <w:bidi w:val="0"/>
        <w:adjustRightInd/>
        <w:spacing w:line="240" w:lineRule="auto"/>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kern w:val="0"/>
          <w:sz w:val="30"/>
          <w:szCs w:val="30"/>
          <w:shd w:val="clear" w:color="auto" w:fill="FFFFFF"/>
        </w:rPr>
      </w:pPr>
      <w:r>
        <w:rPr>
          <w:rFonts w:hint="eastAsia" w:ascii="仿宋" w:hAnsi="仿宋" w:eastAsia="仿宋" w:cs="仿宋"/>
          <w:kern w:val="0"/>
          <w:sz w:val="30"/>
          <w:szCs w:val="30"/>
          <w:shd w:val="clear" w:color="auto" w:fill="FFFFFF"/>
        </w:rPr>
        <w:t>附件</w:t>
      </w:r>
      <w:r>
        <w:rPr>
          <w:rFonts w:hint="eastAsia" w:ascii="仿宋" w:hAnsi="仿宋" w:eastAsia="仿宋" w:cs="仿宋"/>
          <w:kern w:val="0"/>
          <w:sz w:val="30"/>
          <w:szCs w:val="30"/>
          <w:shd w:val="clear" w:color="auto" w:fill="FFFFFF"/>
          <w:lang w:eastAsia="zh-CN"/>
        </w:rPr>
        <w:t>：</w:t>
      </w:r>
    </w:p>
    <w:p>
      <w:pPr>
        <w:keepNext w:val="0"/>
        <w:keepLines w:val="0"/>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kern w:val="0"/>
          <w:sz w:val="30"/>
          <w:szCs w:val="30"/>
          <w:shd w:val="clear" w:color="auto" w:fill="FFFFFF"/>
        </w:rPr>
      </w:pPr>
      <w:r>
        <w:rPr>
          <w:rFonts w:hint="eastAsia" w:ascii="仿宋" w:hAnsi="仿宋" w:eastAsia="仿宋" w:cs="仿宋"/>
          <w:kern w:val="0"/>
          <w:sz w:val="30"/>
          <w:szCs w:val="30"/>
          <w:shd w:val="clear" w:color="auto" w:fill="FFFFFF"/>
        </w:rPr>
        <w:fldChar w:fldCharType="begin"/>
      </w:r>
      <w:r>
        <w:rPr>
          <w:rFonts w:hint="eastAsia" w:ascii="仿宋" w:hAnsi="仿宋" w:eastAsia="仿宋" w:cs="仿宋"/>
          <w:kern w:val="0"/>
          <w:sz w:val="30"/>
          <w:szCs w:val="30"/>
          <w:shd w:val="clear" w:color="auto" w:fill="FFFFFF"/>
        </w:rPr>
        <w:instrText xml:space="preserve"> HYPERLINK "http://rsj.sh.gov.cn/cmsres/07/0796bcc4dc734e88bad8ba1b91d3dba3/6b5a8358735e4ac3edfe11272aaf1f9f.docx" \t "http://rsj.sh.gov.cn/tgjjszwpstz_17412/20220616/_blank" </w:instrText>
      </w:r>
      <w:r>
        <w:rPr>
          <w:rFonts w:hint="eastAsia" w:ascii="仿宋" w:hAnsi="仿宋" w:eastAsia="仿宋" w:cs="仿宋"/>
          <w:kern w:val="0"/>
          <w:sz w:val="30"/>
          <w:szCs w:val="30"/>
          <w:shd w:val="clear" w:color="auto" w:fill="FFFFFF"/>
        </w:rPr>
        <w:fldChar w:fldCharType="separate"/>
      </w:r>
      <w:r>
        <w:rPr>
          <w:rFonts w:hint="eastAsia" w:ascii="仿宋" w:hAnsi="仿宋" w:eastAsia="仿宋" w:cs="仿宋"/>
          <w:kern w:val="0"/>
          <w:sz w:val="30"/>
          <w:szCs w:val="30"/>
          <w:shd w:val="clear" w:color="auto" w:fill="FFFFFF"/>
        </w:rPr>
        <w:t>1、冶金高评委网上填写申报材料要求</w:t>
      </w:r>
      <w:r>
        <w:rPr>
          <w:rFonts w:hint="eastAsia" w:ascii="仿宋" w:hAnsi="仿宋" w:eastAsia="仿宋" w:cs="仿宋"/>
          <w:kern w:val="0"/>
          <w:sz w:val="30"/>
          <w:szCs w:val="30"/>
          <w:shd w:val="clear" w:color="auto" w:fill="FFFFFF"/>
        </w:rPr>
        <w:fldChar w:fldCharType="end"/>
      </w:r>
    </w:p>
    <w:p>
      <w:pPr>
        <w:keepNext w:val="0"/>
        <w:keepLines w:val="0"/>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kern w:val="0"/>
          <w:sz w:val="30"/>
          <w:szCs w:val="30"/>
          <w:shd w:val="clear" w:color="auto" w:fill="FFFFFF"/>
        </w:rPr>
      </w:pPr>
      <w:r>
        <w:rPr>
          <w:rFonts w:hint="eastAsia" w:ascii="仿宋" w:hAnsi="仿宋" w:eastAsia="仿宋" w:cs="仿宋"/>
          <w:kern w:val="0"/>
          <w:sz w:val="30"/>
          <w:szCs w:val="30"/>
          <w:shd w:val="clear" w:color="auto" w:fill="FFFFFF"/>
        </w:rPr>
        <w:fldChar w:fldCharType="begin"/>
      </w:r>
      <w:r>
        <w:rPr>
          <w:rFonts w:hint="eastAsia" w:ascii="仿宋" w:hAnsi="仿宋" w:eastAsia="仿宋" w:cs="仿宋"/>
          <w:kern w:val="0"/>
          <w:sz w:val="30"/>
          <w:szCs w:val="30"/>
          <w:shd w:val="clear" w:color="auto" w:fill="FFFFFF"/>
        </w:rPr>
        <w:instrText xml:space="preserve"> HYPERLINK "http://rsj.sh.gov.cn/cmsres/af/af3ba733c6154c618022ded9758c00fa/ec80be7aacf98339f1759203b74fbc81.docx" \t "http://rsj.sh.gov.cn/tgjjszwpstz_17412/20220616/_blank" </w:instrText>
      </w:r>
      <w:r>
        <w:rPr>
          <w:rFonts w:hint="eastAsia" w:ascii="仿宋" w:hAnsi="仿宋" w:eastAsia="仿宋" w:cs="仿宋"/>
          <w:kern w:val="0"/>
          <w:sz w:val="30"/>
          <w:szCs w:val="30"/>
          <w:shd w:val="clear" w:color="auto" w:fill="FFFFFF"/>
        </w:rPr>
        <w:fldChar w:fldCharType="separate"/>
      </w:r>
      <w:r>
        <w:rPr>
          <w:rFonts w:hint="eastAsia" w:ascii="仿宋" w:hAnsi="仿宋" w:eastAsia="仿宋" w:cs="仿宋"/>
          <w:kern w:val="0"/>
          <w:sz w:val="30"/>
          <w:szCs w:val="30"/>
          <w:shd w:val="clear" w:color="auto" w:fill="FFFFFF"/>
        </w:rPr>
        <w:t>2、所在单位核实意见模板</w:t>
      </w:r>
      <w:r>
        <w:rPr>
          <w:rFonts w:hint="eastAsia" w:ascii="仿宋" w:hAnsi="仿宋" w:eastAsia="仿宋" w:cs="仿宋"/>
          <w:kern w:val="0"/>
          <w:sz w:val="30"/>
          <w:szCs w:val="30"/>
          <w:shd w:val="clear" w:color="auto" w:fill="FFFFFF"/>
        </w:rPr>
        <w:fldChar w:fldCharType="end"/>
      </w:r>
    </w:p>
    <w:p>
      <w:pPr>
        <w:keepNext w:val="0"/>
        <w:keepLines w:val="0"/>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kern w:val="0"/>
          <w:sz w:val="30"/>
          <w:szCs w:val="30"/>
          <w:shd w:val="clear" w:color="auto" w:fill="FFFFFF"/>
        </w:rPr>
      </w:pPr>
      <w:r>
        <w:rPr>
          <w:rFonts w:hint="eastAsia" w:ascii="仿宋" w:hAnsi="仿宋" w:eastAsia="仿宋" w:cs="仿宋"/>
          <w:kern w:val="0"/>
          <w:sz w:val="30"/>
          <w:szCs w:val="30"/>
          <w:shd w:val="clear" w:color="auto" w:fill="FFFFFF"/>
        </w:rPr>
        <w:fldChar w:fldCharType="begin"/>
      </w:r>
      <w:r>
        <w:rPr>
          <w:rFonts w:hint="eastAsia" w:ascii="仿宋" w:hAnsi="仿宋" w:eastAsia="仿宋" w:cs="仿宋"/>
          <w:kern w:val="0"/>
          <w:sz w:val="30"/>
          <w:szCs w:val="30"/>
          <w:shd w:val="clear" w:color="auto" w:fill="FFFFFF"/>
        </w:rPr>
        <w:instrText xml:space="preserve"> HYPERLINK "http://rsj.sh.gov.cn/cmsres/b9/b989e6b4eed143298be3f2c1447ccf56/a3900e43ff4335e37a057b1396afbeda.docx" \t "http://rsj.sh.gov.cn/tgjjszwpstz_17412/20220616/_blank" </w:instrText>
      </w:r>
      <w:r>
        <w:rPr>
          <w:rFonts w:hint="eastAsia" w:ascii="仿宋" w:hAnsi="仿宋" w:eastAsia="仿宋" w:cs="仿宋"/>
          <w:kern w:val="0"/>
          <w:sz w:val="30"/>
          <w:szCs w:val="30"/>
          <w:shd w:val="clear" w:color="auto" w:fill="FFFFFF"/>
        </w:rPr>
        <w:fldChar w:fldCharType="separate"/>
      </w:r>
      <w:r>
        <w:rPr>
          <w:rFonts w:hint="eastAsia" w:ascii="仿宋" w:hAnsi="仿宋" w:eastAsia="仿宋" w:cs="仿宋"/>
          <w:kern w:val="0"/>
          <w:sz w:val="30"/>
          <w:szCs w:val="30"/>
          <w:shd w:val="clear" w:color="auto" w:fill="FFFFFF"/>
        </w:rPr>
        <w:t>3、个人技术工作总结 同行专家评价推荐意见表</w:t>
      </w:r>
      <w:r>
        <w:rPr>
          <w:rFonts w:hint="eastAsia" w:ascii="仿宋" w:hAnsi="仿宋" w:eastAsia="仿宋" w:cs="仿宋"/>
          <w:kern w:val="0"/>
          <w:sz w:val="30"/>
          <w:szCs w:val="30"/>
          <w:shd w:val="clear" w:color="auto" w:fill="FFFFFF"/>
        </w:rPr>
        <w:fldChar w:fldCharType="end"/>
      </w:r>
    </w:p>
    <w:p>
      <w:pPr>
        <w:keepNext w:val="0"/>
        <w:keepLines w:val="0"/>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kern w:val="0"/>
          <w:sz w:val="30"/>
          <w:szCs w:val="30"/>
          <w:shd w:val="clear" w:color="auto" w:fill="FFFFFF"/>
        </w:rPr>
      </w:pPr>
      <w:r>
        <w:rPr>
          <w:rFonts w:hint="eastAsia" w:ascii="仿宋" w:hAnsi="仿宋" w:eastAsia="仿宋" w:cs="仿宋"/>
          <w:kern w:val="0"/>
          <w:sz w:val="30"/>
          <w:szCs w:val="30"/>
          <w:shd w:val="clear" w:color="auto" w:fill="FFFFFF"/>
        </w:rPr>
        <w:fldChar w:fldCharType="begin"/>
      </w:r>
      <w:r>
        <w:rPr>
          <w:rFonts w:hint="eastAsia" w:ascii="仿宋" w:hAnsi="仿宋" w:eastAsia="仿宋" w:cs="仿宋"/>
          <w:kern w:val="0"/>
          <w:sz w:val="30"/>
          <w:szCs w:val="30"/>
          <w:shd w:val="clear" w:color="auto" w:fill="FFFFFF"/>
        </w:rPr>
        <w:instrText xml:space="preserve"> HYPERLINK "http://rsj.sh.gov.cn/cmsres/0c/0c6b57813eed4d549b88b6c34ef9b6ab/e17187cc1cf01fe7f0e2a8281eb7b883.docx" \t "http://rsj.sh.gov.cn/tgjjszwpstz_17412/20220616/_blank" </w:instrText>
      </w:r>
      <w:r>
        <w:rPr>
          <w:rFonts w:hint="eastAsia" w:ascii="仿宋" w:hAnsi="仿宋" w:eastAsia="仿宋" w:cs="仿宋"/>
          <w:kern w:val="0"/>
          <w:sz w:val="30"/>
          <w:szCs w:val="30"/>
          <w:shd w:val="clear" w:color="auto" w:fill="FFFFFF"/>
        </w:rPr>
        <w:fldChar w:fldCharType="separate"/>
      </w:r>
      <w:r>
        <w:rPr>
          <w:rFonts w:hint="eastAsia" w:ascii="仿宋" w:hAnsi="仿宋" w:eastAsia="仿宋" w:cs="仿宋"/>
          <w:kern w:val="0"/>
          <w:sz w:val="30"/>
          <w:szCs w:val="30"/>
          <w:shd w:val="clear" w:color="auto" w:fill="FFFFFF"/>
        </w:rPr>
        <w:t>4、外语、计算机能力证明可提交材料范围</w:t>
      </w:r>
      <w:r>
        <w:rPr>
          <w:rFonts w:hint="eastAsia" w:ascii="仿宋" w:hAnsi="仿宋" w:eastAsia="仿宋" w:cs="仿宋"/>
          <w:kern w:val="0"/>
          <w:sz w:val="30"/>
          <w:szCs w:val="30"/>
          <w:shd w:val="clear" w:color="auto" w:fill="FFFFFF"/>
        </w:rPr>
        <w:fldChar w:fldCharType="end"/>
      </w:r>
    </w:p>
    <w:p>
      <w:pPr>
        <w:keepNext w:val="0"/>
        <w:keepLines w:val="0"/>
        <w:pageBreakBefore w:val="0"/>
        <w:widowControl w:val="0"/>
        <w:kinsoku/>
        <w:wordWrap/>
        <w:overflowPunct/>
        <w:topLinePunct w:val="0"/>
        <w:autoSpaceDE/>
        <w:autoSpaceDN/>
        <w:bidi w:val="0"/>
        <w:adjustRightInd/>
        <w:spacing w:line="240" w:lineRule="auto"/>
        <w:ind w:firstLine="600" w:firstLineChars="200"/>
        <w:textAlignment w:val="auto"/>
        <w:rPr>
          <w:rFonts w:hint="eastAsia" w:ascii="仿宋" w:hAnsi="仿宋" w:eastAsia="仿宋" w:cs="仿宋"/>
          <w:kern w:val="0"/>
          <w:sz w:val="30"/>
          <w:szCs w:val="30"/>
          <w:shd w:val="clear" w:color="auto" w:fill="FFFFFF"/>
        </w:rPr>
      </w:pPr>
      <w:r>
        <w:rPr>
          <w:rFonts w:hint="eastAsia" w:ascii="仿宋" w:hAnsi="仿宋" w:eastAsia="仿宋" w:cs="仿宋"/>
          <w:kern w:val="0"/>
          <w:sz w:val="30"/>
          <w:szCs w:val="30"/>
          <w:shd w:val="clear" w:color="auto" w:fill="FFFFFF"/>
        </w:rPr>
        <w:fldChar w:fldCharType="begin"/>
      </w:r>
      <w:r>
        <w:rPr>
          <w:rFonts w:hint="eastAsia" w:ascii="仿宋" w:hAnsi="仿宋" w:eastAsia="仿宋" w:cs="仿宋"/>
          <w:kern w:val="0"/>
          <w:sz w:val="30"/>
          <w:szCs w:val="30"/>
          <w:shd w:val="clear" w:color="auto" w:fill="FFFFFF"/>
        </w:rPr>
        <w:instrText xml:space="preserve"> HYPERLINK "http://rsj.sh.gov.cn/cmsres/df/df7a4ece2e7a4bbb9a9718579e0d557f/cb645df2afa1da242c91c6cadbd4a22a.docx" \t "http://rsj.sh.gov.cn/tgjjszwpstz_17412/20220616/_blank" </w:instrText>
      </w:r>
      <w:r>
        <w:rPr>
          <w:rFonts w:hint="eastAsia" w:ascii="仿宋" w:hAnsi="仿宋" w:eastAsia="仿宋" w:cs="仿宋"/>
          <w:kern w:val="0"/>
          <w:sz w:val="30"/>
          <w:szCs w:val="30"/>
          <w:shd w:val="clear" w:color="auto" w:fill="FFFFFF"/>
        </w:rPr>
        <w:fldChar w:fldCharType="separate"/>
      </w:r>
      <w:r>
        <w:rPr>
          <w:rFonts w:hint="eastAsia" w:ascii="仿宋" w:hAnsi="仿宋" w:eastAsia="仿宋" w:cs="仿宋"/>
          <w:kern w:val="0"/>
          <w:sz w:val="30"/>
          <w:szCs w:val="30"/>
          <w:shd w:val="clear" w:color="auto" w:fill="FFFFFF"/>
        </w:rPr>
        <w:t>5、申报冶金高级工程师评审材料目录</w:t>
      </w:r>
      <w:r>
        <w:rPr>
          <w:rFonts w:hint="eastAsia" w:ascii="仿宋" w:hAnsi="仿宋" w:eastAsia="仿宋" w:cs="仿宋"/>
          <w:kern w:val="0"/>
          <w:sz w:val="30"/>
          <w:szCs w:val="30"/>
          <w:shd w:val="clear" w:color="auto" w:fill="FFFFFF"/>
        </w:rPr>
        <w:fldChar w:fldCharType="end"/>
      </w:r>
    </w:p>
    <w:p>
      <w:pPr>
        <w:keepNext w:val="0"/>
        <w:keepLines w:val="0"/>
        <w:pageBreakBefore w:val="0"/>
        <w:widowControl w:val="0"/>
        <w:kinsoku/>
        <w:wordWrap/>
        <w:overflowPunct/>
        <w:topLinePunct w:val="0"/>
        <w:autoSpaceDE/>
        <w:autoSpaceDN/>
        <w:bidi w:val="0"/>
        <w:adjustRightInd/>
        <w:spacing w:line="240" w:lineRule="auto"/>
        <w:jc w:val="right"/>
        <w:textAlignment w:val="auto"/>
        <w:rPr>
          <w:rFonts w:hint="eastAsia" w:ascii="仿宋" w:hAnsi="仿宋" w:eastAsia="仿宋" w:cs="仿宋"/>
          <w:sz w:val="30"/>
          <w:szCs w:val="30"/>
        </w:rPr>
      </w:pPr>
    </w:p>
    <w:p>
      <w:pPr>
        <w:keepNext w:val="0"/>
        <w:keepLines w:val="0"/>
        <w:pageBreakBefore w:val="0"/>
        <w:widowControl w:val="0"/>
        <w:kinsoku/>
        <w:wordWrap/>
        <w:overflowPunct/>
        <w:topLinePunct w:val="0"/>
        <w:autoSpaceDE/>
        <w:autoSpaceDN/>
        <w:bidi w:val="0"/>
        <w:adjustRightInd/>
        <w:spacing w:line="240" w:lineRule="auto"/>
        <w:jc w:val="right"/>
        <w:textAlignment w:val="auto"/>
        <w:rPr>
          <w:rFonts w:hint="eastAsia" w:ascii="仿宋" w:hAnsi="仿宋" w:eastAsia="仿宋" w:cs="仿宋"/>
          <w:sz w:val="30"/>
          <w:szCs w:val="30"/>
        </w:rPr>
      </w:pPr>
      <w:r>
        <w:rPr>
          <w:rFonts w:hint="eastAsia" w:ascii="仿宋" w:hAnsi="仿宋" w:eastAsia="仿宋" w:cs="仿宋"/>
          <w:sz w:val="30"/>
          <w:szCs w:val="30"/>
        </w:rPr>
        <w:t>　</w:t>
      </w:r>
    </w:p>
    <w:p>
      <w:pPr>
        <w:keepNext w:val="0"/>
        <w:keepLines w:val="0"/>
        <w:pageBreakBefore w:val="0"/>
        <w:widowControl w:val="0"/>
        <w:kinsoku/>
        <w:wordWrap/>
        <w:overflowPunct/>
        <w:topLinePunct w:val="0"/>
        <w:autoSpaceDE/>
        <w:autoSpaceDN/>
        <w:bidi w:val="0"/>
        <w:adjustRightInd/>
        <w:spacing w:line="240" w:lineRule="auto"/>
        <w:jc w:val="right"/>
        <w:textAlignment w:val="auto"/>
        <w:rPr>
          <w:rFonts w:hint="eastAsia" w:ascii="仿宋" w:hAnsi="仿宋" w:eastAsia="仿宋" w:cs="仿宋"/>
          <w:sz w:val="30"/>
          <w:szCs w:val="30"/>
        </w:rPr>
      </w:pPr>
      <w:r>
        <w:rPr>
          <w:rFonts w:hint="eastAsia" w:ascii="仿宋" w:hAnsi="仿宋" w:eastAsia="仿宋" w:cs="仿宋"/>
          <w:sz w:val="30"/>
          <w:szCs w:val="30"/>
        </w:rPr>
        <w:t>　上海市工程系列冶金专业高级职称评审委员会</w:t>
      </w:r>
    </w:p>
    <w:p>
      <w:pPr>
        <w:keepNext w:val="0"/>
        <w:keepLines w:val="0"/>
        <w:pageBreakBefore w:val="0"/>
        <w:widowControl w:val="0"/>
        <w:kinsoku/>
        <w:wordWrap/>
        <w:overflowPunct/>
        <w:topLinePunct w:val="0"/>
        <w:autoSpaceDE/>
        <w:autoSpaceDN/>
        <w:bidi w:val="0"/>
        <w:adjustRightInd/>
        <w:spacing w:line="240" w:lineRule="auto"/>
        <w:jc w:val="right"/>
        <w:textAlignment w:val="auto"/>
        <w:rPr>
          <w:rFonts w:hint="eastAsia" w:ascii="仿宋" w:hAnsi="仿宋" w:eastAsia="仿宋" w:cs="仿宋"/>
          <w:sz w:val="30"/>
          <w:szCs w:val="30"/>
          <w:highlight w:val="none"/>
        </w:rPr>
      </w:pPr>
      <w:r>
        <w:rPr>
          <w:rFonts w:hint="eastAsia" w:ascii="仿宋" w:hAnsi="仿宋" w:eastAsia="仿宋" w:cs="仿宋"/>
          <w:sz w:val="30"/>
          <w:szCs w:val="30"/>
        </w:rPr>
        <w:t>　</w:t>
      </w:r>
      <w:r>
        <w:rPr>
          <w:rFonts w:hint="eastAsia" w:ascii="仿宋" w:hAnsi="仿宋" w:eastAsia="仿宋" w:cs="仿宋"/>
          <w:sz w:val="30"/>
          <w:szCs w:val="30"/>
          <w:highlight w:val="none"/>
        </w:rPr>
        <w:t>　</w:t>
      </w:r>
      <w:r>
        <w:rPr>
          <w:rFonts w:hint="eastAsia" w:ascii="仿宋" w:hAnsi="仿宋" w:eastAsia="仿宋" w:cs="仿宋"/>
          <w:sz w:val="30"/>
          <w:szCs w:val="30"/>
          <w:highlight w:val="none"/>
          <w:lang w:eastAsia="zh-CN"/>
        </w:rPr>
        <w:t>2025</w:t>
      </w:r>
      <w:r>
        <w:rPr>
          <w:rFonts w:hint="eastAsia" w:ascii="仿宋" w:hAnsi="仿宋" w:eastAsia="仿宋" w:cs="仿宋"/>
          <w:sz w:val="30"/>
          <w:szCs w:val="30"/>
          <w:highlight w:val="none"/>
        </w:rPr>
        <w:t>年5月</w:t>
      </w:r>
      <w:r>
        <w:rPr>
          <w:rFonts w:hint="eastAsia" w:ascii="仿宋" w:hAnsi="仿宋" w:eastAsia="仿宋" w:cs="仿宋"/>
          <w:sz w:val="30"/>
          <w:szCs w:val="30"/>
          <w:highlight w:val="none"/>
          <w:lang w:val="en-US" w:eastAsia="zh-CN"/>
        </w:rPr>
        <w:t>15</w:t>
      </w:r>
      <w:r>
        <w:rPr>
          <w:rFonts w:hint="eastAsia" w:ascii="仿宋" w:hAnsi="仿宋" w:eastAsia="仿宋" w:cs="仿宋"/>
          <w:sz w:val="30"/>
          <w:szCs w:val="30"/>
          <w:highlight w:val="none"/>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293AF7"/>
    <w:multiLevelType w:val="singleLevel"/>
    <w:tmpl w:val="C8293AF7"/>
    <w:lvl w:ilvl="0" w:tentative="0">
      <w:start w:val="2"/>
      <w:numFmt w:val="chineseCounting"/>
      <w:suff w:val="nothing"/>
      <w:lvlText w:val="%1、"/>
      <w:lvlJc w:val="left"/>
      <w:pPr>
        <w:ind w:left="420" w:firstLine="0"/>
      </w:pPr>
      <w:rPr>
        <w:rFonts w:hint="eastAsia"/>
      </w:rPr>
    </w:lvl>
  </w:abstractNum>
  <w:abstractNum w:abstractNumId="1">
    <w:nsid w:val="7B0ED65E"/>
    <w:multiLevelType w:val="singleLevel"/>
    <w:tmpl w:val="7B0ED65E"/>
    <w:lvl w:ilvl="0" w:tentative="0">
      <w:start w:val="1"/>
      <w:numFmt w:val="decimal"/>
      <w:suff w:val="nothing"/>
      <w:lvlText w:val="%1、"/>
      <w:lvlJc w:val="left"/>
      <w:pPr>
        <w:ind w:left="549"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AD21D7"/>
    <w:rsid w:val="0A735C2A"/>
    <w:rsid w:val="0D2D3CBB"/>
    <w:rsid w:val="0DDA74F1"/>
    <w:rsid w:val="0E5F033F"/>
    <w:rsid w:val="105B6F3C"/>
    <w:rsid w:val="18F10955"/>
    <w:rsid w:val="21712B9C"/>
    <w:rsid w:val="22AC7ED7"/>
    <w:rsid w:val="2C676127"/>
    <w:rsid w:val="2CA17974"/>
    <w:rsid w:val="31E0282E"/>
    <w:rsid w:val="345025F0"/>
    <w:rsid w:val="35F3798C"/>
    <w:rsid w:val="35FD71E0"/>
    <w:rsid w:val="36EC72F9"/>
    <w:rsid w:val="3A4B3B13"/>
    <w:rsid w:val="3C0856BC"/>
    <w:rsid w:val="3C6E5E91"/>
    <w:rsid w:val="3CA10BA8"/>
    <w:rsid w:val="3D4059EB"/>
    <w:rsid w:val="42255C31"/>
    <w:rsid w:val="44EE1B2A"/>
    <w:rsid w:val="475D164E"/>
    <w:rsid w:val="480C00F5"/>
    <w:rsid w:val="49003C1F"/>
    <w:rsid w:val="4D4F6927"/>
    <w:rsid w:val="4D9E077B"/>
    <w:rsid w:val="529E51EE"/>
    <w:rsid w:val="53D54A65"/>
    <w:rsid w:val="5F7E6C51"/>
    <w:rsid w:val="5F88181B"/>
    <w:rsid w:val="60AD4CBD"/>
    <w:rsid w:val="61A84C2E"/>
    <w:rsid w:val="625A0C96"/>
    <w:rsid w:val="67B81232"/>
    <w:rsid w:val="728546A8"/>
    <w:rsid w:val="75DD22EC"/>
    <w:rsid w:val="76F128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58</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2023-05-05T02:40:00Z</dcterms:created>
  <dc:creator>DELL</dc:creator>
  <cp:lastModifiedBy>Administrator</cp:lastModifiedBy>
  <dcterms:modified xsi:type="dcterms:W3CDTF">2025-05-15T06:46:44Z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