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inherit" w:hAnsi="inherit" w:eastAsia="微软雅黑" w:cs="宋体"/>
          <w:b/>
          <w:bCs/>
          <w:color w:val="015293"/>
          <w:kern w:val="0"/>
          <w:sz w:val="30"/>
          <w:szCs w:val="30"/>
        </w:rPr>
      </w:pPr>
      <w:r>
        <w:rPr>
          <w:rFonts w:hint="eastAsia" w:ascii="inherit" w:hAnsi="inherit" w:eastAsia="微软雅黑" w:cs="宋体"/>
          <w:b/>
          <w:bCs/>
          <w:color w:val="015293"/>
          <w:kern w:val="0"/>
          <w:sz w:val="30"/>
          <w:szCs w:val="30"/>
        </w:rPr>
        <w:t>关于开展2025年度上海现代建筑设计（集团）有限公司</w:t>
      </w:r>
    </w:p>
    <w:p>
      <w:pPr>
        <w:jc w:val="center"/>
        <w:rPr>
          <w:rFonts w:hint="eastAsia" w:ascii="inherit" w:hAnsi="inherit" w:eastAsia="微软雅黑" w:cs="宋体"/>
          <w:b/>
          <w:bCs/>
          <w:color w:val="015293"/>
          <w:kern w:val="0"/>
          <w:sz w:val="30"/>
          <w:szCs w:val="30"/>
        </w:rPr>
      </w:pPr>
      <w:r>
        <w:rPr>
          <w:rFonts w:hint="eastAsia" w:ascii="inherit" w:hAnsi="inherit" w:eastAsia="微软雅黑" w:cs="宋体"/>
          <w:b/>
          <w:bCs/>
          <w:color w:val="015293"/>
          <w:kern w:val="0"/>
          <w:sz w:val="30"/>
          <w:szCs w:val="30"/>
        </w:rPr>
        <w:t>工程系列中级职称评审工作的通知</w:t>
      </w:r>
    </w:p>
    <w:p>
      <w:pPr>
        <w:rPr>
          <w:rFonts w:asciiTheme="minorEastAsia" w:hAnsiTheme="minorEastAsia"/>
          <w:sz w:val="24"/>
          <w:szCs w:val="24"/>
        </w:rPr>
      </w:pPr>
    </w:p>
    <w:p>
      <w:pPr>
        <w:spacing w:line="360" w:lineRule="auto"/>
        <w:rPr>
          <w:rFonts w:asciiTheme="minorEastAsia" w:hAnsiTheme="minorEastAsia"/>
          <w:sz w:val="24"/>
          <w:szCs w:val="24"/>
        </w:rPr>
      </w:pPr>
      <w:r>
        <w:rPr>
          <w:rFonts w:hint="eastAsia" w:asciiTheme="minorEastAsia" w:hAnsiTheme="minorEastAsia"/>
          <w:sz w:val="24"/>
          <w:szCs w:val="24"/>
        </w:rPr>
        <w:t>各有关单位：</w:t>
      </w:r>
    </w:p>
    <w:p>
      <w:pPr>
        <w:spacing w:line="360" w:lineRule="auto"/>
        <w:rPr>
          <w:rFonts w:asciiTheme="minorEastAsia" w:hAnsiTheme="minorEastAsia"/>
          <w:sz w:val="24"/>
          <w:szCs w:val="24"/>
        </w:rPr>
      </w:pPr>
      <w:r>
        <w:rPr>
          <w:rFonts w:hint="eastAsia" w:asciiTheme="minorEastAsia" w:hAnsiTheme="minorEastAsia"/>
          <w:sz w:val="24"/>
          <w:szCs w:val="24"/>
        </w:rPr>
        <w:t>　　根据《职称评审管理暂行规定》（人力资源社会保障部第40号令）、《人力资源社会保障部工业和信息化部关于深化工程技术人才职称制度改革的指导意见》（人社部发〔2019〕16号）、《关于规范本市专业技术职称申报条件的通知》（沪人社专〔2017〕115号）等文件精神，为做好2025年度上海现代建筑设计（集团）有限公司工程系列中级职称格评审工作，现将有关事项通知如下：</w:t>
      </w:r>
    </w:p>
    <w:p>
      <w:pPr>
        <w:spacing w:line="360" w:lineRule="auto"/>
        <w:rPr>
          <w:rFonts w:asciiTheme="minorEastAsia" w:hAnsiTheme="minorEastAsia"/>
          <w:sz w:val="24"/>
          <w:szCs w:val="24"/>
        </w:rPr>
      </w:pPr>
      <w:r>
        <w:rPr>
          <w:rFonts w:hint="eastAsia" w:asciiTheme="minorEastAsia" w:hAnsiTheme="minorEastAsia"/>
          <w:sz w:val="24"/>
          <w:szCs w:val="24"/>
        </w:rPr>
        <w:t>一、评审组织机构</w:t>
      </w:r>
    </w:p>
    <w:p>
      <w:pPr>
        <w:spacing w:line="360" w:lineRule="auto"/>
        <w:rPr>
          <w:rFonts w:asciiTheme="minorEastAsia" w:hAnsiTheme="minorEastAsia"/>
          <w:sz w:val="24"/>
          <w:szCs w:val="24"/>
        </w:rPr>
      </w:pPr>
      <w:r>
        <w:rPr>
          <w:rFonts w:hint="eastAsia" w:asciiTheme="minorEastAsia" w:hAnsiTheme="minorEastAsia"/>
          <w:sz w:val="24"/>
          <w:szCs w:val="24"/>
        </w:rPr>
        <w:t>　　上海现代建筑设计（集团）有限公司工程系列中级职称评审委员会由上海现代建筑设计（集团）有限公司组建，评委会办公室设在上海现代建筑设计（集团）有限公司人力资源部（组织部）（以下简称“中评委办公室”），负责相关专业的中级职称评审工作。评委会下设7个学科组：</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●建筑设计学科组：包含建筑设计、建筑设计（风景园林）、建筑设计（室内）、建筑设计（声学）、绿色建筑等专业。</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●结构设计学科组：包含结构设计、数字化设计、幕墙设计等专业。</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●暖通与动力设计学科组：包含空调采暖通风设计、动力设计等专业。</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●电气设计学科组：包含电气设计、电气设计（照明）、电气设计（智能化）等专业。</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●给排水设计学科组：包含给排水设计专业。</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●岩土工程学科组：包含岩土工程、测量工程、工程测量、工程地质、工程监测、工程测绘等专业。</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●建筑技术经济管理学科组：包含建筑技术经济管理、工程咨询、建设管理等专业。</w:t>
      </w: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r>
        <w:rPr>
          <w:rFonts w:hint="eastAsia" w:asciiTheme="minorEastAsia" w:hAnsiTheme="minorEastAsia"/>
          <w:sz w:val="24"/>
          <w:szCs w:val="24"/>
        </w:rPr>
        <w:t>二、申报条件及要求</w:t>
      </w:r>
    </w:p>
    <w:p>
      <w:pPr>
        <w:spacing w:line="360" w:lineRule="auto"/>
        <w:rPr>
          <w:rFonts w:asciiTheme="minorEastAsia" w:hAnsiTheme="minorEastAsia"/>
          <w:sz w:val="24"/>
          <w:szCs w:val="24"/>
        </w:rPr>
      </w:pPr>
      <w:r>
        <w:rPr>
          <w:rFonts w:hint="eastAsia" w:asciiTheme="minorEastAsia" w:hAnsiTheme="minorEastAsia"/>
          <w:sz w:val="24"/>
          <w:szCs w:val="24"/>
        </w:rPr>
        <w:t>（一）基本条件</w:t>
      </w:r>
    </w:p>
    <w:p>
      <w:pPr>
        <w:spacing w:line="360" w:lineRule="auto"/>
        <w:rPr>
          <w:rFonts w:asciiTheme="minorEastAsia" w:hAnsiTheme="minorEastAsia"/>
          <w:sz w:val="24"/>
          <w:szCs w:val="24"/>
        </w:rPr>
      </w:pPr>
      <w:r>
        <w:rPr>
          <w:rFonts w:hint="eastAsia" w:asciiTheme="minorEastAsia" w:hAnsiTheme="minorEastAsia"/>
          <w:sz w:val="24"/>
          <w:szCs w:val="24"/>
        </w:rPr>
        <w:t>　　遵守宪法和国家法律、法规，恪守职业道德，具有良好的职业操守和从业行为。无不良诚信记录，无尚在有效期内的行政处罚。</w:t>
      </w:r>
    </w:p>
    <w:p>
      <w:pPr>
        <w:spacing w:line="360" w:lineRule="auto"/>
        <w:rPr>
          <w:rFonts w:asciiTheme="minorEastAsia" w:hAnsiTheme="minorEastAsia"/>
          <w:sz w:val="24"/>
          <w:szCs w:val="24"/>
        </w:rPr>
      </w:pPr>
      <w:r>
        <w:rPr>
          <w:rFonts w:hint="eastAsia" w:asciiTheme="minorEastAsia" w:hAnsiTheme="minorEastAsia"/>
          <w:sz w:val="24"/>
          <w:szCs w:val="24"/>
        </w:rPr>
        <w:t>（二）申报范围和岗位条件</w:t>
      </w:r>
    </w:p>
    <w:p>
      <w:pPr>
        <w:spacing w:line="360" w:lineRule="auto"/>
        <w:rPr>
          <w:rFonts w:asciiTheme="minorEastAsia" w:hAnsiTheme="minorEastAsia"/>
          <w:sz w:val="24"/>
          <w:szCs w:val="24"/>
        </w:rPr>
      </w:pPr>
      <w:r>
        <w:rPr>
          <w:rFonts w:hint="eastAsia" w:asciiTheme="minorEastAsia" w:hAnsiTheme="minorEastAsia"/>
          <w:sz w:val="24"/>
          <w:szCs w:val="24"/>
        </w:rPr>
        <w:t>　　由上海现代建筑设计（集团）有限公司、华东建筑集团股份有限公司或上述两家单位的下属分子公司（公司须注册在上海市）缴纳社保的在职专业技术人员，至申报截止当日符合以下条件之一的，可以申报本中级职称:</w:t>
      </w:r>
    </w:p>
    <w:p>
      <w:pPr>
        <w:spacing w:line="360" w:lineRule="auto"/>
        <w:rPr>
          <w:rFonts w:asciiTheme="minorEastAsia" w:hAnsiTheme="minorEastAsia"/>
          <w:sz w:val="24"/>
          <w:szCs w:val="24"/>
        </w:rPr>
      </w:pPr>
      <w:r>
        <w:rPr>
          <w:rFonts w:hint="eastAsia" w:asciiTheme="minorEastAsia" w:hAnsiTheme="minorEastAsia"/>
          <w:sz w:val="24"/>
          <w:szCs w:val="24"/>
        </w:rPr>
        <w:t>　　●具有本市户籍。</w:t>
      </w:r>
    </w:p>
    <w:p>
      <w:pPr>
        <w:spacing w:line="360" w:lineRule="auto"/>
        <w:ind w:firstLine="480"/>
        <w:rPr>
          <w:rFonts w:asciiTheme="minorEastAsia" w:hAnsiTheme="minorEastAsia"/>
          <w:sz w:val="24"/>
          <w:szCs w:val="24"/>
        </w:rPr>
      </w:pPr>
      <w:r>
        <w:rPr>
          <w:rFonts w:hint="eastAsia" w:asciiTheme="minorEastAsia" w:hAnsiTheme="minorEastAsia"/>
          <w:sz w:val="24"/>
          <w:szCs w:val="24"/>
        </w:rPr>
        <w:t>●持有有效期内的《上海市居住证》。</w:t>
      </w:r>
    </w:p>
    <w:p>
      <w:pPr>
        <w:spacing w:line="360" w:lineRule="auto"/>
        <w:rPr>
          <w:rFonts w:asciiTheme="minorEastAsia" w:hAnsiTheme="minorEastAsia"/>
          <w:sz w:val="24"/>
          <w:szCs w:val="24"/>
        </w:rPr>
      </w:pPr>
      <w:r>
        <w:rPr>
          <w:rFonts w:hint="eastAsia" w:asciiTheme="minorEastAsia" w:hAnsiTheme="minorEastAsia"/>
          <w:sz w:val="24"/>
          <w:szCs w:val="24"/>
        </w:rPr>
        <w:t>　　●近2年内在本市累计缴纳社会保险满12个月。</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当年度已到达退休年龄或已办理退休手续者，不接受申报。</w:t>
      </w:r>
    </w:p>
    <w:p>
      <w:pPr>
        <w:spacing w:line="360" w:lineRule="auto"/>
        <w:rPr>
          <w:rFonts w:asciiTheme="minorEastAsia" w:hAnsiTheme="minorEastAsia"/>
          <w:sz w:val="24"/>
          <w:szCs w:val="24"/>
        </w:rPr>
      </w:pPr>
      <w:r>
        <w:rPr>
          <w:rFonts w:hint="eastAsia" w:asciiTheme="minorEastAsia" w:hAnsiTheme="minorEastAsia"/>
          <w:sz w:val="24"/>
          <w:szCs w:val="24"/>
        </w:rPr>
        <w:t>（三）学历和资历要求</w:t>
      </w:r>
    </w:p>
    <w:p>
      <w:pPr>
        <w:spacing w:line="360" w:lineRule="auto"/>
        <w:rPr>
          <w:rFonts w:asciiTheme="minorEastAsia" w:hAnsiTheme="minorEastAsia"/>
          <w:sz w:val="24"/>
          <w:szCs w:val="24"/>
        </w:rPr>
      </w:pPr>
      <w:r>
        <w:rPr>
          <w:rFonts w:hint="eastAsia" w:asciiTheme="minorEastAsia" w:hAnsiTheme="minorEastAsia"/>
          <w:sz w:val="24"/>
          <w:szCs w:val="24"/>
        </w:rPr>
        <w:t>　　申报人员应符合国家《工程技术人才职称评价基本标准条件》规定，具备理工类相关专业学历，即符合以下条件之一可申报工程师职称：</w:t>
      </w:r>
    </w:p>
    <w:p>
      <w:pPr>
        <w:spacing w:line="360" w:lineRule="auto"/>
        <w:rPr>
          <w:rFonts w:asciiTheme="minorEastAsia" w:hAnsiTheme="minorEastAsia"/>
          <w:sz w:val="24"/>
          <w:szCs w:val="24"/>
        </w:rPr>
      </w:pPr>
      <w:r>
        <w:rPr>
          <w:rFonts w:hint="eastAsia" w:asciiTheme="minorEastAsia" w:hAnsiTheme="minorEastAsia"/>
          <w:sz w:val="24"/>
          <w:szCs w:val="24"/>
        </w:rPr>
        <w:t>　　●获得博士学位后从事所申报的专业技术工作期间被考核合格。</w:t>
      </w:r>
    </w:p>
    <w:p>
      <w:pPr>
        <w:spacing w:line="360" w:lineRule="auto"/>
        <w:rPr>
          <w:rFonts w:asciiTheme="minorEastAsia" w:hAnsiTheme="minorEastAsia"/>
          <w:sz w:val="24"/>
          <w:szCs w:val="24"/>
        </w:rPr>
      </w:pPr>
      <w:r>
        <w:rPr>
          <w:rFonts w:hint="eastAsia" w:asciiTheme="minorEastAsia" w:hAnsiTheme="minorEastAsia"/>
          <w:sz w:val="24"/>
          <w:szCs w:val="24"/>
        </w:rPr>
        <w:t>　　●获得硕士研究生学历后从事所申报的专业技术工作满两年。</w:t>
      </w:r>
    </w:p>
    <w:p>
      <w:pPr>
        <w:spacing w:line="360" w:lineRule="auto"/>
        <w:rPr>
          <w:rFonts w:asciiTheme="minorEastAsia" w:hAnsiTheme="minorEastAsia"/>
          <w:sz w:val="24"/>
          <w:szCs w:val="24"/>
        </w:rPr>
      </w:pPr>
      <w:r>
        <w:rPr>
          <w:rFonts w:hint="eastAsia" w:asciiTheme="minorEastAsia" w:hAnsiTheme="minorEastAsia"/>
          <w:sz w:val="24"/>
          <w:szCs w:val="24"/>
        </w:rPr>
        <w:t>　　●获得大学本科学历后从事所申报的专业技术工作满五年（其中聘任助理工程师满四年）。</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●获得大学专科学历后从事所申报的专业技术工作满七年（其中聘任助理工程师满四年）。</w:t>
      </w:r>
    </w:p>
    <w:p>
      <w:pPr>
        <w:spacing w:line="360" w:lineRule="auto"/>
        <w:rPr>
          <w:rFonts w:asciiTheme="minorEastAsia" w:hAnsiTheme="minorEastAsia"/>
          <w:sz w:val="24"/>
          <w:szCs w:val="24"/>
        </w:rPr>
      </w:pPr>
      <w:r>
        <w:rPr>
          <w:rFonts w:hint="eastAsia" w:asciiTheme="minorEastAsia" w:hAnsiTheme="minorEastAsia"/>
          <w:sz w:val="24"/>
          <w:szCs w:val="24"/>
        </w:rPr>
        <w:t>（四）专业技术工作经历</w:t>
      </w:r>
    </w:p>
    <w:p>
      <w:pPr>
        <w:spacing w:line="360" w:lineRule="auto"/>
        <w:rPr>
          <w:rFonts w:asciiTheme="minorEastAsia" w:hAnsiTheme="minorEastAsia"/>
          <w:sz w:val="24"/>
          <w:szCs w:val="24"/>
        </w:rPr>
      </w:pPr>
      <w:r>
        <w:rPr>
          <w:rFonts w:hint="eastAsia" w:asciiTheme="minorEastAsia" w:hAnsiTheme="minorEastAsia"/>
          <w:sz w:val="24"/>
          <w:szCs w:val="24"/>
        </w:rPr>
        <w:t>　　专业技术工作经历是指取得职称资格（或者符合规定的聘任条件）后的聘任时间，按实计算。</w:t>
      </w:r>
    </w:p>
    <w:p>
      <w:pPr>
        <w:spacing w:line="360" w:lineRule="auto"/>
        <w:rPr>
          <w:rFonts w:asciiTheme="minorEastAsia" w:hAnsiTheme="minorEastAsia"/>
          <w:sz w:val="24"/>
          <w:szCs w:val="24"/>
        </w:rPr>
      </w:pPr>
      <w:r>
        <w:rPr>
          <w:rFonts w:hint="eastAsia" w:asciiTheme="minorEastAsia" w:hAnsiTheme="minorEastAsia"/>
          <w:sz w:val="24"/>
          <w:szCs w:val="24"/>
        </w:rPr>
        <w:t>　　●截止时间</w:t>
      </w:r>
    </w:p>
    <w:p>
      <w:pPr>
        <w:spacing w:line="360" w:lineRule="auto"/>
        <w:rPr>
          <w:rFonts w:asciiTheme="minorEastAsia" w:hAnsiTheme="minorEastAsia"/>
          <w:sz w:val="24"/>
          <w:szCs w:val="24"/>
        </w:rPr>
      </w:pPr>
      <w:r>
        <w:rPr>
          <w:rFonts w:hint="eastAsia" w:asciiTheme="minorEastAsia" w:hAnsiTheme="minorEastAsia"/>
          <w:sz w:val="24"/>
          <w:szCs w:val="24"/>
        </w:rPr>
        <w:t>　　任职资格年限截止至2025年6月30日。</w:t>
      </w:r>
    </w:p>
    <w:p>
      <w:pPr>
        <w:spacing w:line="360" w:lineRule="auto"/>
        <w:rPr>
          <w:rFonts w:asciiTheme="minorEastAsia" w:hAnsiTheme="minorEastAsia"/>
          <w:sz w:val="24"/>
          <w:szCs w:val="24"/>
        </w:rPr>
      </w:pPr>
      <w:r>
        <w:rPr>
          <w:rFonts w:hint="eastAsia" w:asciiTheme="minorEastAsia" w:hAnsiTheme="minorEastAsia"/>
          <w:sz w:val="24"/>
          <w:szCs w:val="24"/>
        </w:rPr>
        <w:t>　　●计算办法</w:t>
      </w:r>
    </w:p>
    <w:p>
      <w:pPr>
        <w:spacing w:line="360" w:lineRule="auto"/>
        <w:rPr>
          <w:rFonts w:asciiTheme="minorEastAsia" w:hAnsiTheme="minorEastAsia"/>
          <w:sz w:val="24"/>
          <w:szCs w:val="24"/>
        </w:rPr>
      </w:pPr>
      <w:r>
        <w:rPr>
          <w:rFonts w:hint="eastAsia" w:asciiTheme="minorEastAsia" w:hAnsiTheme="minorEastAsia"/>
          <w:sz w:val="24"/>
          <w:szCs w:val="24"/>
        </w:rPr>
        <w:t>　　在计算专业技术工作时间时，因专业技术岗位变动、待岗待聘、长病假、参加全日制教育等不在本专业技术岗位工作的时间（不含产假、在职脱产进修等）需相应扣除。</w:t>
      </w:r>
    </w:p>
    <w:p>
      <w:pPr>
        <w:spacing w:line="360" w:lineRule="auto"/>
        <w:ind w:firstLine="480"/>
        <w:rPr>
          <w:rFonts w:asciiTheme="minorEastAsia" w:hAnsiTheme="minorEastAsia"/>
          <w:sz w:val="24"/>
          <w:szCs w:val="24"/>
        </w:rPr>
      </w:pPr>
      <w:r>
        <w:rPr>
          <w:rFonts w:hint="eastAsia" w:asciiTheme="minorEastAsia" w:hAnsiTheme="minorEastAsia"/>
          <w:sz w:val="24"/>
          <w:szCs w:val="24"/>
        </w:rPr>
        <w:t>非就业状态、单位未缴纳社保、在行政管理或工勤等岗位工作、攻读全日制教育、机关工作经历等情况，不能作为专业技术工作经历。</w:t>
      </w:r>
    </w:p>
    <w:p>
      <w:pPr>
        <w:spacing w:line="360" w:lineRule="auto"/>
        <w:rPr>
          <w:rFonts w:asciiTheme="minorEastAsia" w:hAnsiTheme="minorEastAsia"/>
          <w:sz w:val="24"/>
          <w:szCs w:val="24"/>
        </w:rPr>
      </w:pPr>
      <w:r>
        <w:rPr>
          <w:rFonts w:hint="eastAsia" w:asciiTheme="minorEastAsia" w:hAnsiTheme="minorEastAsia"/>
          <w:sz w:val="24"/>
          <w:szCs w:val="24"/>
        </w:rPr>
        <w:t>（五）论文(论著)/技术工作总结</w:t>
      </w:r>
    </w:p>
    <w:p>
      <w:pPr>
        <w:spacing w:line="360" w:lineRule="auto"/>
        <w:rPr>
          <w:rFonts w:asciiTheme="minorEastAsia" w:hAnsiTheme="minorEastAsia"/>
          <w:sz w:val="24"/>
          <w:szCs w:val="24"/>
        </w:rPr>
      </w:pPr>
      <w:r>
        <w:rPr>
          <w:rFonts w:hint="eastAsia" w:asciiTheme="minorEastAsia" w:hAnsiTheme="minorEastAsia"/>
          <w:sz w:val="24"/>
          <w:szCs w:val="24"/>
        </w:rPr>
        <w:t>　　申报人需至少报送一篇在取得助理工程师职称后与申报专业密切相关的具有一定专业技术水平的论文或技术工作总结作为主送论文。主送论文须独立撰写且字数不得少于3000字。中评委办公室将对申报人所提交的主送论文进行重合度检测，经查实存在学术造假行为的，实行“一票否决”。具体要求如下：</w:t>
      </w:r>
    </w:p>
    <w:p>
      <w:pPr>
        <w:spacing w:line="360" w:lineRule="auto"/>
        <w:ind w:firstLine="480"/>
        <w:rPr>
          <w:rFonts w:asciiTheme="minorEastAsia" w:hAnsiTheme="minorEastAsia"/>
          <w:sz w:val="24"/>
          <w:szCs w:val="24"/>
        </w:rPr>
      </w:pPr>
      <w:r>
        <w:rPr>
          <w:rFonts w:hint="eastAsia" w:asciiTheme="minorEastAsia" w:hAnsiTheme="minorEastAsia"/>
          <w:sz w:val="24"/>
          <w:szCs w:val="24"/>
        </w:rPr>
        <w:t>●毕业论文不能作为职称评审论文报送。</w:t>
      </w:r>
    </w:p>
    <w:p>
      <w:pPr>
        <w:spacing w:line="360" w:lineRule="auto"/>
        <w:ind w:firstLine="480"/>
        <w:rPr>
          <w:rFonts w:asciiTheme="minorEastAsia" w:hAnsiTheme="minorEastAsia"/>
          <w:sz w:val="24"/>
          <w:szCs w:val="24"/>
        </w:rPr>
      </w:pPr>
      <w:r>
        <w:rPr>
          <w:rFonts w:hint="eastAsia" w:asciiTheme="minorEastAsia" w:hAnsiTheme="minorEastAsia"/>
          <w:sz w:val="24"/>
          <w:szCs w:val="24"/>
        </w:rPr>
        <w:t>●申报人应在正规期刊发表论文，论文录用证明、报刊及电子论文等不能作为申报依据。</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●技术工作总结中项目的可行性研究、立项申请、结题报告以及项目技术报告等不作为职称评审技术工作总结报送。</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发表的论文需同时上传论文的WORD版本以及杂志的封面、目录、正文彩色扫描页（以图片格式插入WORD版本内），并确保与所提交的书面材料完全相同。未发表的论文需上传word版本。若报送以外文撰写的论文，需同时提供中文译稿，且审核时以中文内容为准。</w:t>
      </w:r>
    </w:p>
    <w:p>
      <w:pPr>
        <w:spacing w:line="360" w:lineRule="auto"/>
        <w:ind w:firstLine="480" w:firstLineChars="200"/>
        <w:rPr>
          <w:rFonts w:asciiTheme="minorEastAsia" w:hAnsiTheme="minorEastAsia"/>
          <w:color w:val="auto"/>
          <w:sz w:val="24"/>
          <w:szCs w:val="24"/>
        </w:rPr>
      </w:pPr>
      <w:r>
        <w:rPr>
          <w:rFonts w:hint="eastAsia" w:asciiTheme="minorEastAsia" w:hAnsiTheme="minorEastAsia"/>
          <w:color w:val="auto"/>
          <w:sz w:val="24"/>
          <w:szCs w:val="24"/>
        </w:rPr>
        <w:t>●技术工作总结应阐明项目水平，并写明本人在项目中所承担的岗位职责、专业技术能力、创造性的作用贡献以及解决的技术难题。技术工作总结须由单位审核并出具申报人独立撰写的证明，为确保申报人参与项目的真实性，须同时提供申报人主持或为主参与并通过工程竣工验收或科研项目结项鉴定等的相关佐证材料。</w:t>
      </w:r>
    </w:p>
    <w:p>
      <w:pPr>
        <w:spacing w:line="360" w:lineRule="auto"/>
        <w:rPr>
          <w:rFonts w:asciiTheme="minorEastAsia" w:hAnsiTheme="minorEastAsia"/>
          <w:sz w:val="24"/>
          <w:szCs w:val="24"/>
        </w:rPr>
      </w:pPr>
      <w:r>
        <w:rPr>
          <w:rFonts w:hint="eastAsia" w:asciiTheme="minorEastAsia" w:hAnsiTheme="minorEastAsia"/>
          <w:sz w:val="24"/>
          <w:szCs w:val="24"/>
        </w:rPr>
        <w:t>　　●上传文件命名格式：论文全称_作者。</w:t>
      </w:r>
    </w:p>
    <w:p>
      <w:pPr>
        <w:spacing w:line="360" w:lineRule="auto"/>
        <w:rPr>
          <w:rFonts w:asciiTheme="minorEastAsia" w:hAnsiTheme="minorEastAsia"/>
          <w:sz w:val="24"/>
          <w:szCs w:val="24"/>
        </w:rPr>
      </w:pPr>
      <w:r>
        <w:rPr>
          <w:rFonts w:hint="eastAsia" w:asciiTheme="minorEastAsia" w:hAnsiTheme="minorEastAsia"/>
          <w:sz w:val="24"/>
          <w:szCs w:val="24"/>
        </w:rPr>
        <w:t>（六）继续教育</w:t>
      </w:r>
    </w:p>
    <w:p>
      <w:pPr>
        <w:spacing w:line="360" w:lineRule="auto"/>
        <w:rPr>
          <w:rFonts w:asciiTheme="minorEastAsia" w:hAnsiTheme="minorEastAsia"/>
          <w:sz w:val="24"/>
          <w:szCs w:val="24"/>
        </w:rPr>
      </w:pPr>
      <w:r>
        <w:rPr>
          <w:rFonts w:hint="eastAsia" w:asciiTheme="minorEastAsia" w:hAnsiTheme="minorEastAsia"/>
          <w:sz w:val="24"/>
          <w:szCs w:val="24"/>
        </w:rPr>
        <w:t>　　●公需科目继续教育</w:t>
      </w:r>
    </w:p>
    <w:p>
      <w:pPr>
        <w:spacing w:line="360" w:lineRule="auto"/>
        <w:ind w:firstLine="480" w:firstLineChars="200"/>
        <w:rPr>
          <w:rFonts w:hint="default" w:asciiTheme="minorEastAsia" w:hAnsiTheme="minorEastAsia" w:eastAsiaTheme="minorEastAsia"/>
          <w:color w:val="auto"/>
          <w:sz w:val="24"/>
          <w:szCs w:val="24"/>
          <w:lang w:val="en-US" w:eastAsia="zh-CN"/>
        </w:rPr>
      </w:pPr>
      <w:r>
        <w:rPr>
          <w:rFonts w:hint="eastAsia" w:asciiTheme="minorEastAsia" w:hAnsiTheme="minorEastAsia"/>
          <w:color w:val="auto"/>
          <w:sz w:val="24"/>
          <w:szCs w:val="24"/>
          <w:lang w:val="en-US" w:eastAsia="zh-CN"/>
        </w:rPr>
        <w:t>根据《关于进一步完善本市专业技术人员继续教育公需科目培训工作的通知》，2025年公需科目课程不再区分必修课程和选修课程</w:t>
      </w:r>
      <w:r>
        <w:rPr>
          <w:rFonts w:hint="eastAsia" w:asciiTheme="minorEastAsia" w:hAnsiTheme="minorEastAsia"/>
          <w:color w:val="auto"/>
          <w:sz w:val="24"/>
          <w:szCs w:val="24"/>
        </w:rPr>
        <w:t>。</w:t>
      </w:r>
      <w:r>
        <w:rPr>
          <w:rFonts w:hint="eastAsia" w:asciiTheme="minorEastAsia" w:hAnsiTheme="minorEastAsia"/>
          <w:color w:val="auto"/>
          <w:sz w:val="24"/>
          <w:szCs w:val="24"/>
          <w:lang w:val="en-US" w:eastAsia="zh-CN"/>
        </w:rPr>
        <w:t>按照培训方式，公需科目课程分为录播课程和直播课程，目录范围内的录播课程和直播课程均可计入公需科目学时。本年度公需科目考核周期为2021年至2025年，累计应完成90学时。</w:t>
      </w:r>
    </w:p>
    <w:p>
      <w:pPr>
        <w:spacing w:line="360" w:lineRule="auto"/>
        <w:rPr>
          <w:rFonts w:asciiTheme="minorEastAsia" w:hAnsiTheme="minorEastAsia"/>
          <w:sz w:val="24"/>
          <w:szCs w:val="24"/>
        </w:rPr>
      </w:pPr>
      <w:r>
        <w:rPr>
          <w:rFonts w:hint="eastAsia" w:asciiTheme="minorEastAsia" w:hAnsiTheme="minorEastAsia"/>
          <w:sz w:val="24"/>
          <w:szCs w:val="24"/>
        </w:rPr>
        <w:t>　　●专业科目继续教育</w:t>
      </w:r>
    </w:p>
    <w:p>
      <w:pPr>
        <w:spacing w:line="360" w:lineRule="auto"/>
        <w:ind w:firstLine="481"/>
        <w:rPr>
          <w:rFonts w:hint="eastAsia" w:asciiTheme="minorEastAsia" w:hAnsiTheme="minorEastAsia"/>
          <w:sz w:val="24"/>
          <w:szCs w:val="24"/>
        </w:rPr>
      </w:pPr>
      <w:r>
        <w:rPr>
          <w:rFonts w:hint="eastAsia" w:asciiTheme="minorEastAsia" w:hAnsiTheme="minorEastAsia"/>
          <w:sz w:val="24"/>
          <w:szCs w:val="24"/>
        </w:rPr>
        <w:t>申报人员应根据《关于开展2025年上海现代建筑设计（集团）有限公司工程系列中级职称专业科目继续教育工作的通知》的要求完成相应的继续教育，具体报名事宜，请</w:t>
      </w:r>
      <w:r>
        <w:rPr>
          <w:rFonts w:hint="eastAsia" w:asciiTheme="minorEastAsia" w:hAnsiTheme="minorEastAsia"/>
          <w:sz w:val="24"/>
          <w:szCs w:val="24"/>
          <w:lang w:val="en-US" w:eastAsia="zh-CN"/>
        </w:rPr>
        <w:t>查询</w:t>
      </w:r>
      <w:r>
        <w:rPr>
          <w:rFonts w:hint="eastAsia" w:asciiTheme="minorEastAsia" w:hAnsiTheme="minorEastAsia"/>
          <w:sz w:val="24"/>
          <w:szCs w:val="24"/>
        </w:rPr>
        <w:t>“勘察设计专业继续教育网”（http://www.sptce.cn/）</w:t>
      </w:r>
      <w:bookmarkStart w:id="0" w:name="_GoBack"/>
      <w:bookmarkEnd w:id="0"/>
      <w:r>
        <w:rPr>
          <w:rFonts w:hint="eastAsia" w:asciiTheme="minorEastAsia" w:hAnsiTheme="minorEastAsia"/>
          <w:sz w:val="24"/>
          <w:szCs w:val="24"/>
        </w:rPr>
        <w:t>。</w:t>
      </w:r>
    </w:p>
    <w:p>
      <w:pPr>
        <w:spacing w:line="360" w:lineRule="auto"/>
        <w:rPr>
          <w:rFonts w:asciiTheme="minorEastAsia" w:hAnsiTheme="minorEastAsia"/>
          <w:sz w:val="24"/>
          <w:szCs w:val="24"/>
        </w:rPr>
      </w:pPr>
      <w:r>
        <w:rPr>
          <w:rFonts w:hint="eastAsia" w:asciiTheme="minorEastAsia" w:hAnsiTheme="minorEastAsia"/>
          <w:sz w:val="24"/>
          <w:szCs w:val="24"/>
        </w:rPr>
        <w:t>（七）破格申报条件</w:t>
      </w:r>
    </w:p>
    <w:p>
      <w:pPr>
        <w:spacing w:line="360" w:lineRule="auto"/>
        <w:rPr>
          <w:rFonts w:asciiTheme="minorEastAsia" w:hAnsiTheme="minorEastAsia"/>
          <w:sz w:val="24"/>
          <w:szCs w:val="24"/>
        </w:rPr>
      </w:pPr>
      <w:r>
        <w:rPr>
          <w:rFonts w:hint="eastAsia" w:asciiTheme="minorEastAsia" w:hAnsiTheme="minorEastAsia"/>
          <w:sz w:val="24"/>
          <w:szCs w:val="24"/>
        </w:rPr>
        <w:t>　　对于取得助理工程师职称并从事助理工程师工作满三年但未满五年的工程技术人员，如申请破格评审工程师职称，须同时满足下列条件：</w:t>
      </w:r>
    </w:p>
    <w:p>
      <w:pPr>
        <w:spacing w:line="360" w:lineRule="auto"/>
        <w:rPr>
          <w:rFonts w:asciiTheme="minorEastAsia" w:hAnsiTheme="minorEastAsia"/>
          <w:sz w:val="24"/>
          <w:szCs w:val="24"/>
        </w:rPr>
      </w:pPr>
      <w:r>
        <w:rPr>
          <w:rFonts w:hint="eastAsia" w:asciiTheme="minorEastAsia" w:hAnsiTheme="minorEastAsia"/>
          <w:sz w:val="24"/>
          <w:szCs w:val="24"/>
        </w:rPr>
        <w:t>　　●近三年考核优秀。</w:t>
      </w:r>
    </w:p>
    <w:p>
      <w:pPr>
        <w:spacing w:line="360" w:lineRule="auto"/>
        <w:rPr>
          <w:rFonts w:asciiTheme="minorEastAsia" w:hAnsiTheme="minorEastAsia"/>
          <w:sz w:val="24"/>
          <w:szCs w:val="24"/>
        </w:rPr>
      </w:pPr>
      <w:r>
        <w:rPr>
          <w:rFonts w:hint="eastAsia" w:asciiTheme="minorEastAsia" w:hAnsiTheme="minorEastAsia"/>
          <w:sz w:val="24"/>
          <w:szCs w:val="24"/>
        </w:rPr>
        <w:t>　　●获得过国家或省部级优秀勘察设计二等奖及以上的主要贡献者（有个人证书，排名前3位）。</w:t>
      </w:r>
    </w:p>
    <w:p>
      <w:pPr>
        <w:spacing w:line="360" w:lineRule="auto"/>
        <w:rPr>
          <w:rFonts w:asciiTheme="minorEastAsia" w:hAnsiTheme="minorEastAsia"/>
          <w:sz w:val="24"/>
          <w:szCs w:val="24"/>
        </w:rPr>
      </w:pPr>
      <w:r>
        <w:rPr>
          <w:rFonts w:hint="eastAsia" w:asciiTheme="minorEastAsia" w:hAnsiTheme="minorEastAsia"/>
          <w:sz w:val="24"/>
          <w:szCs w:val="24"/>
        </w:rPr>
        <w:t>　　●在省部级以上专业刊物（有期刊号）上独立发表本专业论文一篇，字数不少于3000字并得到同行专家认可。</w:t>
      </w:r>
    </w:p>
    <w:p>
      <w:pPr>
        <w:spacing w:line="360" w:lineRule="auto"/>
        <w:rPr>
          <w:rFonts w:asciiTheme="minorEastAsia" w:hAnsiTheme="minorEastAsia"/>
          <w:sz w:val="24"/>
          <w:szCs w:val="24"/>
        </w:rPr>
      </w:pPr>
      <w:r>
        <w:rPr>
          <w:rFonts w:hint="eastAsia" w:asciiTheme="minorEastAsia" w:hAnsiTheme="minorEastAsia"/>
          <w:sz w:val="24"/>
          <w:szCs w:val="24"/>
        </w:rPr>
        <w:t>　　破格申报工程师职称必须进行答辩。</w:t>
      </w:r>
    </w:p>
    <w:p>
      <w:pPr>
        <w:spacing w:line="360" w:lineRule="auto"/>
        <w:rPr>
          <w:rFonts w:asciiTheme="minorEastAsia" w:hAnsiTheme="minorEastAsia"/>
          <w:sz w:val="24"/>
          <w:szCs w:val="24"/>
        </w:rPr>
      </w:pPr>
      <w:r>
        <w:rPr>
          <w:rFonts w:hint="eastAsia" w:asciiTheme="minorEastAsia" w:hAnsiTheme="minorEastAsia"/>
          <w:sz w:val="24"/>
          <w:szCs w:val="24"/>
        </w:rPr>
        <w:t>（八）继续申报条件</w:t>
      </w:r>
    </w:p>
    <w:p>
      <w:pPr>
        <w:spacing w:line="360" w:lineRule="auto"/>
        <w:rPr>
          <w:rFonts w:asciiTheme="minorEastAsia" w:hAnsiTheme="minorEastAsia"/>
          <w:sz w:val="24"/>
          <w:szCs w:val="24"/>
        </w:rPr>
      </w:pPr>
      <w:r>
        <w:rPr>
          <w:rFonts w:hint="eastAsia" w:asciiTheme="minorEastAsia" w:hAnsiTheme="minorEastAsia"/>
          <w:sz w:val="24"/>
          <w:szCs w:val="24"/>
        </w:rPr>
        <w:t>　　对于上一年度评审未能通过的，第二年要求继续申报的工程技术人员，须在申报当年满足以下两个条件之一：</w:t>
      </w:r>
    </w:p>
    <w:p>
      <w:pPr>
        <w:spacing w:line="360" w:lineRule="auto"/>
        <w:rPr>
          <w:rFonts w:asciiTheme="minorEastAsia" w:hAnsiTheme="minorEastAsia"/>
          <w:sz w:val="24"/>
          <w:szCs w:val="24"/>
        </w:rPr>
      </w:pPr>
      <w:r>
        <w:rPr>
          <w:rFonts w:hint="eastAsia" w:asciiTheme="minorEastAsia" w:hAnsiTheme="minorEastAsia"/>
          <w:sz w:val="24"/>
          <w:szCs w:val="24"/>
        </w:rPr>
        <w:t>　　●申报当年在公开发行的省部级相关专业刊物（有期刊号）上独立发表本专业论文一篇，字数不少于3000字并得到同行专家认可。</w:t>
      </w:r>
    </w:p>
    <w:p>
      <w:pPr>
        <w:spacing w:line="360" w:lineRule="auto"/>
        <w:rPr>
          <w:rFonts w:asciiTheme="minorEastAsia" w:hAnsiTheme="minorEastAsia"/>
          <w:sz w:val="24"/>
          <w:szCs w:val="24"/>
        </w:rPr>
      </w:pPr>
      <w:r>
        <w:rPr>
          <w:rFonts w:hint="eastAsia" w:asciiTheme="minorEastAsia" w:hAnsiTheme="minorEastAsia"/>
          <w:sz w:val="24"/>
          <w:szCs w:val="24"/>
        </w:rPr>
        <w:t>　　●申报当年获得国家或省部级优秀勘察设计三等奖及以上的主要贡献者（有个人证书，排前3位）。</w:t>
      </w:r>
    </w:p>
    <w:p>
      <w:pPr>
        <w:spacing w:line="360" w:lineRule="auto"/>
        <w:rPr>
          <w:rFonts w:asciiTheme="minorEastAsia" w:hAnsiTheme="minorEastAsia"/>
          <w:sz w:val="24"/>
          <w:szCs w:val="24"/>
        </w:rPr>
      </w:pPr>
      <w:r>
        <w:rPr>
          <w:rFonts w:hint="eastAsia" w:asciiTheme="minorEastAsia" w:hAnsiTheme="minorEastAsia"/>
          <w:sz w:val="24"/>
          <w:szCs w:val="24"/>
        </w:rPr>
        <w:t>（九）其他事项</w:t>
      </w:r>
    </w:p>
    <w:p>
      <w:pPr>
        <w:spacing w:line="360" w:lineRule="auto"/>
        <w:rPr>
          <w:rFonts w:asciiTheme="minorEastAsia" w:hAnsiTheme="minorEastAsia"/>
          <w:sz w:val="24"/>
          <w:szCs w:val="24"/>
        </w:rPr>
      </w:pPr>
      <w:r>
        <w:rPr>
          <w:rFonts w:hint="eastAsia" w:asciiTheme="minorEastAsia" w:hAnsiTheme="minorEastAsia"/>
          <w:sz w:val="24"/>
          <w:szCs w:val="24"/>
        </w:rPr>
        <w:t>　　●对原不具备申报工程师职称规定学历的专业技术人员，被聘为助理工程师后，通过国家承认的学历教育取得符合中级职称规定学历的工程技术人员，其取得学历后的资历不少于一年（含）。</w:t>
      </w:r>
    </w:p>
    <w:p>
      <w:pPr>
        <w:spacing w:line="360" w:lineRule="auto"/>
        <w:rPr>
          <w:rFonts w:asciiTheme="minorEastAsia" w:hAnsiTheme="minorEastAsia"/>
          <w:sz w:val="24"/>
          <w:szCs w:val="24"/>
        </w:rPr>
      </w:pPr>
      <w:r>
        <w:rPr>
          <w:rFonts w:hint="eastAsia" w:asciiTheme="minorEastAsia" w:hAnsiTheme="minorEastAsia"/>
          <w:sz w:val="24"/>
          <w:szCs w:val="24"/>
        </w:rPr>
        <w:t>　　●对于毕业后就在非公经济单位工作，该单位至今尚未开展过有关职称评审工作的专业技术人员，在所需学历和资历条件达到评审要求而无初级职称时，可直接申报评审中级职称。即大学本科毕业从事工程技术工作五年以上，大专毕业从事工程技术工作七年以上可以直接申报。</w:t>
      </w:r>
    </w:p>
    <w:p>
      <w:pPr>
        <w:spacing w:line="360" w:lineRule="auto"/>
        <w:rPr>
          <w:rFonts w:asciiTheme="minorEastAsia" w:hAnsiTheme="minorEastAsia"/>
          <w:sz w:val="24"/>
          <w:szCs w:val="24"/>
        </w:rPr>
      </w:pPr>
      <w:r>
        <w:rPr>
          <w:rFonts w:hint="eastAsia" w:asciiTheme="minorEastAsia" w:hAnsiTheme="minorEastAsia"/>
          <w:sz w:val="24"/>
          <w:szCs w:val="24"/>
        </w:rPr>
        <w:t>　　●已被评聘为其他相关系列中级职称的人员，并在工程系列专业岗位上工作满一年以上，方可申报转评工程师职称。</w:t>
      </w: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r>
        <w:rPr>
          <w:rFonts w:hint="eastAsia" w:asciiTheme="minorEastAsia" w:hAnsiTheme="minorEastAsia"/>
          <w:sz w:val="24"/>
          <w:szCs w:val="24"/>
        </w:rPr>
        <w:t>三、申报程序</w:t>
      </w:r>
    </w:p>
    <w:p>
      <w:pPr>
        <w:spacing w:line="360" w:lineRule="auto"/>
        <w:rPr>
          <w:rFonts w:asciiTheme="minorEastAsia" w:hAnsiTheme="minorEastAsia"/>
          <w:sz w:val="24"/>
          <w:szCs w:val="24"/>
        </w:rPr>
      </w:pPr>
      <w:r>
        <w:rPr>
          <w:rFonts w:hint="eastAsia" w:asciiTheme="minorEastAsia" w:hAnsiTheme="minorEastAsia"/>
          <w:sz w:val="24"/>
          <w:szCs w:val="24"/>
        </w:rPr>
        <w:t>（一）网上申报</w:t>
      </w:r>
    </w:p>
    <w:p>
      <w:pPr>
        <w:spacing w:line="360" w:lineRule="auto"/>
        <w:rPr>
          <w:rFonts w:asciiTheme="minorEastAsia" w:hAnsiTheme="minorEastAsia"/>
          <w:sz w:val="24"/>
          <w:szCs w:val="24"/>
        </w:rPr>
      </w:pPr>
      <w:r>
        <w:rPr>
          <w:rFonts w:hint="eastAsia" w:asciiTheme="minorEastAsia" w:hAnsiTheme="minorEastAsia"/>
          <w:sz w:val="24"/>
          <w:szCs w:val="24"/>
        </w:rPr>
        <w:t>　　●登录“上海市职称服务系统”（http://rsj.sh.gov.cn/）-政务公开-职称专家-上海市职称服务系统，如实注册用户信息、选择专业学科组、填写基本资料。</w:t>
      </w:r>
    </w:p>
    <w:p>
      <w:pPr>
        <w:spacing w:line="360" w:lineRule="auto"/>
        <w:rPr>
          <w:rFonts w:asciiTheme="minorEastAsia" w:hAnsiTheme="minorEastAsia"/>
          <w:sz w:val="24"/>
          <w:szCs w:val="24"/>
        </w:rPr>
      </w:pPr>
      <w:r>
        <w:rPr>
          <w:rFonts w:hint="eastAsia" w:asciiTheme="minorEastAsia" w:hAnsiTheme="minorEastAsia"/>
          <w:sz w:val="24"/>
          <w:szCs w:val="24"/>
        </w:rPr>
        <w:t>　　●凡要求提供的附件材料均应上传原件彩色扫描件至系统。</w:t>
      </w:r>
    </w:p>
    <w:p>
      <w:pPr>
        <w:spacing w:line="360" w:lineRule="auto"/>
        <w:rPr>
          <w:rFonts w:asciiTheme="minorEastAsia" w:hAnsiTheme="minorEastAsia"/>
          <w:sz w:val="24"/>
          <w:szCs w:val="24"/>
        </w:rPr>
      </w:pPr>
      <w:r>
        <w:rPr>
          <w:rFonts w:hint="eastAsia" w:asciiTheme="minorEastAsia" w:hAnsiTheme="minorEastAsia"/>
          <w:sz w:val="24"/>
          <w:szCs w:val="24"/>
        </w:rPr>
        <w:t>　　●申报材料填写和附件上传完成后，经检查无误，点击提交，同时打印申报表（评审材料将以网上填写和上传的材料为准）。</w:t>
      </w:r>
    </w:p>
    <w:p>
      <w:pPr>
        <w:spacing w:line="360" w:lineRule="auto"/>
        <w:ind w:firstLine="480"/>
        <w:rPr>
          <w:rFonts w:asciiTheme="minorEastAsia" w:hAnsiTheme="minorEastAsia"/>
          <w:sz w:val="24"/>
          <w:szCs w:val="24"/>
        </w:rPr>
      </w:pPr>
      <w:r>
        <w:rPr>
          <w:rFonts w:hint="eastAsia" w:asciiTheme="minorEastAsia" w:hAnsiTheme="minorEastAsia"/>
          <w:sz w:val="24"/>
          <w:szCs w:val="24"/>
        </w:rPr>
        <w:t>●请确认上传附件不含病毒，否则可能导致材料上传不完整而影响评审。</w:t>
      </w:r>
    </w:p>
    <w:p>
      <w:pPr>
        <w:spacing w:line="360" w:lineRule="auto"/>
        <w:ind w:firstLine="480"/>
        <w:rPr>
          <w:rFonts w:asciiTheme="minorEastAsia" w:hAnsiTheme="minorEastAsia"/>
          <w:sz w:val="24"/>
          <w:szCs w:val="24"/>
        </w:rPr>
      </w:pPr>
      <w:r>
        <w:rPr>
          <w:rFonts w:hint="eastAsia" w:asciiTheme="minorEastAsia" w:hAnsiTheme="minorEastAsia"/>
          <w:sz w:val="24"/>
          <w:szCs w:val="24"/>
        </w:rPr>
        <w:t>●对截止申报日24：00未按要求完成提交，或未按中评委办公室要求的修改时限完成修改的申报人，不纳入今年评审受理范围。</w:t>
      </w:r>
    </w:p>
    <w:p>
      <w:pPr>
        <w:spacing w:line="360" w:lineRule="auto"/>
        <w:rPr>
          <w:rFonts w:asciiTheme="minorEastAsia" w:hAnsiTheme="minorEastAsia"/>
          <w:sz w:val="24"/>
          <w:szCs w:val="24"/>
        </w:rPr>
      </w:pPr>
      <w:r>
        <w:rPr>
          <w:rFonts w:hint="eastAsia" w:asciiTheme="minorEastAsia" w:hAnsiTheme="minorEastAsia"/>
          <w:sz w:val="24"/>
          <w:szCs w:val="24"/>
        </w:rPr>
        <w:t>（二）提交书面申报材料</w:t>
      </w:r>
    </w:p>
    <w:p>
      <w:pPr>
        <w:spacing w:line="360" w:lineRule="auto"/>
        <w:rPr>
          <w:rFonts w:asciiTheme="minorEastAsia" w:hAnsiTheme="minorEastAsia"/>
          <w:sz w:val="24"/>
          <w:szCs w:val="24"/>
        </w:rPr>
      </w:pPr>
      <w:r>
        <w:rPr>
          <w:rFonts w:hint="eastAsia" w:asciiTheme="minorEastAsia" w:hAnsiTheme="minorEastAsia"/>
          <w:sz w:val="24"/>
          <w:szCs w:val="24"/>
        </w:rPr>
        <w:t>　　●网上申报材料经初审通过后，中评委办公室将统一分配受理号，取得受理号后在书面材料受理时间内由申报人所在单位人事部门统一递交到受理点，逾期未提交或者未按受理点要求的修改时限完成修改的申报人，不纳入今年评审受理范围。</w:t>
      </w:r>
    </w:p>
    <w:p>
      <w:pPr>
        <w:spacing w:line="360" w:lineRule="auto"/>
        <w:rPr>
          <w:rFonts w:hint="default" w:asciiTheme="minorEastAsia" w:hAnsiTheme="minorEastAsia" w:eastAsiaTheme="minorEastAsia"/>
          <w:sz w:val="24"/>
          <w:szCs w:val="24"/>
          <w:lang w:val="en-US" w:eastAsia="zh-CN"/>
        </w:rPr>
      </w:pPr>
      <w:r>
        <w:rPr>
          <w:rFonts w:hint="eastAsia" w:asciiTheme="minorEastAsia" w:hAnsiTheme="minorEastAsia"/>
          <w:sz w:val="24"/>
          <w:szCs w:val="24"/>
        </w:rPr>
        <w:t>　　●申报者应如实准备相关材料，并签署个人承诺证明，申报者所在单位应对申报材料予以认真核实并盖章。如发现申报材料弄虚作假、多头申报或者论文有抄袭等现象，将取消申报人当年申报资格</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3年内不得申报评审职称、违规取得的职称一经核实取消评审结果，</w:t>
      </w:r>
      <w:r>
        <w:rPr>
          <w:rFonts w:hint="eastAsia" w:asciiTheme="minorEastAsia" w:hAnsiTheme="minorEastAsia"/>
          <w:sz w:val="24"/>
          <w:szCs w:val="24"/>
        </w:rPr>
        <w:t>并将申报人和所在单位纳入职称申报失信黑名单。</w:t>
      </w:r>
      <w:r>
        <w:rPr>
          <w:rFonts w:hint="eastAsia" w:asciiTheme="minorEastAsia" w:hAnsiTheme="minorEastAsia"/>
          <w:sz w:val="24"/>
          <w:szCs w:val="24"/>
          <w:lang w:val="en-US" w:eastAsia="zh-CN"/>
        </w:rPr>
        <w:t>另外，单位和个人在职称申报评审中违纪违法的，按照《中国共产党纪律处分条例》、《中华人民共和国公职人员政务处分法》、《事业单位公职人员处分规定》等追究党纪政务责任；情节严重涉嫌犯罪的，移送有关机关依法处理。</w:t>
      </w:r>
    </w:p>
    <w:p>
      <w:pPr>
        <w:spacing w:line="360" w:lineRule="auto"/>
        <w:rPr>
          <w:rFonts w:asciiTheme="minorEastAsia" w:hAnsiTheme="minorEastAsia"/>
          <w:sz w:val="24"/>
          <w:szCs w:val="24"/>
        </w:rPr>
      </w:pPr>
      <w:r>
        <w:rPr>
          <w:rFonts w:hint="eastAsia" w:asciiTheme="minorEastAsia" w:hAnsiTheme="minorEastAsia"/>
          <w:sz w:val="24"/>
          <w:szCs w:val="24"/>
        </w:rPr>
        <w:t>　　●报送的书面材料须与网上申报材料一致,并确保各项材料均真实、有效。其中，证书原件经受理点对真实性审核后当场退还本人。</w:t>
      </w:r>
    </w:p>
    <w:p>
      <w:pPr>
        <w:spacing w:line="360" w:lineRule="auto"/>
        <w:rPr>
          <w:rFonts w:asciiTheme="minorEastAsia" w:hAnsiTheme="minorEastAsia"/>
          <w:sz w:val="24"/>
          <w:szCs w:val="24"/>
        </w:rPr>
      </w:pPr>
      <w:r>
        <w:rPr>
          <w:rFonts w:hint="eastAsia" w:asciiTheme="minorEastAsia" w:hAnsiTheme="minorEastAsia"/>
          <w:sz w:val="24"/>
          <w:szCs w:val="24"/>
        </w:rPr>
        <w:t xml:space="preserve"> </w:t>
      </w:r>
      <w:r>
        <w:rPr>
          <w:rFonts w:asciiTheme="minorEastAsia" w:hAnsiTheme="minorEastAsia"/>
          <w:sz w:val="24"/>
          <w:szCs w:val="24"/>
        </w:rPr>
        <w:t xml:space="preserve">   </w:t>
      </w:r>
      <w:r>
        <w:rPr>
          <w:rFonts w:hint="eastAsia" w:asciiTheme="minorEastAsia" w:hAnsiTheme="minorEastAsia"/>
          <w:sz w:val="24"/>
          <w:szCs w:val="24"/>
        </w:rPr>
        <w:t>●所有报送书面材料需按“评审材料目录”进行装订。</w:t>
      </w:r>
    </w:p>
    <w:p>
      <w:pPr>
        <w:spacing w:line="360" w:lineRule="auto"/>
        <w:rPr>
          <w:rFonts w:asciiTheme="minorEastAsia" w:hAnsiTheme="minorEastAsia"/>
          <w:sz w:val="24"/>
          <w:szCs w:val="24"/>
        </w:rPr>
      </w:pPr>
      <w:r>
        <w:rPr>
          <w:rFonts w:hint="eastAsia" w:asciiTheme="minorEastAsia" w:hAnsiTheme="minorEastAsia"/>
          <w:sz w:val="24"/>
          <w:szCs w:val="24"/>
        </w:rPr>
        <w:t>四、申报时间、地点和费用</w:t>
      </w:r>
    </w:p>
    <w:p>
      <w:pPr>
        <w:spacing w:line="360" w:lineRule="auto"/>
        <w:rPr>
          <w:rFonts w:asciiTheme="minorEastAsia" w:hAnsiTheme="minorEastAsia"/>
          <w:sz w:val="24"/>
          <w:szCs w:val="24"/>
        </w:rPr>
      </w:pPr>
      <w:r>
        <w:rPr>
          <w:rFonts w:hint="eastAsia" w:asciiTheme="minorEastAsia" w:hAnsiTheme="minorEastAsia"/>
          <w:sz w:val="24"/>
          <w:szCs w:val="24"/>
        </w:rPr>
        <w:t>（一）网上申报时间</w:t>
      </w:r>
    </w:p>
    <w:p>
      <w:pPr>
        <w:spacing w:line="360" w:lineRule="auto"/>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　　2025年5月12日至-16日，逾期未在网上申报者，不纳入今年评审受理范围。</w:t>
      </w:r>
    </w:p>
    <w:p>
      <w:pPr>
        <w:spacing w:line="360" w:lineRule="auto"/>
        <w:rPr>
          <w:rFonts w:asciiTheme="minorEastAsia" w:hAnsiTheme="minorEastAsia"/>
          <w:sz w:val="24"/>
          <w:szCs w:val="24"/>
        </w:rPr>
      </w:pPr>
      <w:r>
        <w:rPr>
          <w:rFonts w:hint="eastAsia" w:asciiTheme="minorEastAsia" w:hAnsiTheme="minorEastAsia"/>
          <w:sz w:val="24"/>
          <w:szCs w:val="24"/>
        </w:rPr>
        <w:t>（二）书面材料受理时间及地点</w:t>
      </w:r>
    </w:p>
    <w:p>
      <w:pPr>
        <w:spacing w:line="360" w:lineRule="auto"/>
        <w:ind w:firstLine="480"/>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时间：暂定2025年6月30日-7月4日（不含双休日），上午9:30-11:00，下午14:00-16:00。以系统短信通知为准。</w:t>
      </w:r>
    </w:p>
    <w:p>
      <w:pPr>
        <w:spacing w:line="360" w:lineRule="auto"/>
        <w:ind w:firstLine="480"/>
        <w:rPr>
          <w:rFonts w:asciiTheme="minorEastAsia" w:hAnsiTheme="minorEastAsia"/>
          <w:color w:val="000000" w:themeColor="text1"/>
          <w:sz w:val="24"/>
          <w:szCs w:val="24"/>
          <w14:textFill>
            <w14:solidFill>
              <w14:schemeClr w14:val="tx1"/>
            </w14:solidFill>
          </w14:textFill>
        </w:rPr>
      </w:pPr>
      <w:r>
        <w:rPr>
          <w:rFonts w:hint="eastAsia" w:asciiTheme="minorEastAsia" w:hAnsiTheme="minorEastAsia"/>
          <w:color w:val="000000" w:themeColor="text1"/>
          <w:sz w:val="24"/>
          <w:szCs w:val="24"/>
          <w14:textFill>
            <w14:solidFill>
              <w14:schemeClr w14:val="tx1"/>
            </w14:solidFill>
          </w14:textFill>
        </w:rPr>
        <w:t>地点：石门二路258号M楼第5接待室（从大堂中间的楼梯上来左转，右手处第一间）。</w:t>
      </w:r>
    </w:p>
    <w:p>
      <w:pPr>
        <w:spacing w:line="360" w:lineRule="auto"/>
        <w:rPr>
          <w:rFonts w:asciiTheme="minorEastAsia" w:hAnsiTheme="minorEastAsia"/>
          <w:sz w:val="24"/>
          <w:szCs w:val="24"/>
        </w:rPr>
      </w:pPr>
      <w:r>
        <w:rPr>
          <w:rFonts w:hint="eastAsia" w:asciiTheme="minorEastAsia" w:hAnsiTheme="minorEastAsia"/>
          <w:sz w:val="24"/>
          <w:szCs w:val="24"/>
        </w:rPr>
        <w:t>（三）评审费用</w:t>
      </w:r>
    </w:p>
    <w:p>
      <w:pPr>
        <w:spacing w:line="360" w:lineRule="auto"/>
        <w:rPr>
          <w:rFonts w:asciiTheme="minorEastAsia" w:hAnsiTheme="minorEastAsia"/>
          <w:sz w:val="24"/>
          <w:szCs w:val="24"/>
        </w:rPr>
      </w:pPr>
      <w:r>
        <w:rPr>
          <w:rFonts w:hint="eastAsia" w:asciiTheme="minorEastAsia" w:hAnsiTheme="minorEastAsia"/>
          <w:sz w:val="24"/>
          <w:szCs w:val="24"/>
        </w:rPr>
        <w:t>　　每位评审对象收取评审费800元（线下支付），评审未通过者，费用不予退还。</w:t>
      </w:r>
    </w:p>
    <w:p>
      <w:pPr>
        <w:spacing w:line="360" w:lineRule="auto"/>
        <w:rPr>
          <w:rFonts w:asciiTheme="minorEastAsia" w:hAnsiTheme="minorEastAsia"/>
          <w:sz w:val="24"/>
          <w:szCs w:val="24"/>
        </w:rPr>
      </w:pPr>
    </w:p>
    <w:p>
      <w:pPr>
        <w:spacing w:line="360" w:lineRule="auto"/>
        <w:rPr>
          <w:rFonts w:asciiTheme="minorEastAsia" w:hAnsiTheme="minorEastAsia"/>
          <w:sz w:val="24"/>
          <w:szCs w:val="24"/>
        </w:rPr>
      </w:pPr>
      <w:r>
        <w:rPr>
          <w:rFonts w:hint="eastAsia" w:asciiTheme="minorEastAsia" w:hAnsiTheme="minorEastAsia"/>
          <w:sz w:val="24"/>
          <w:szCs w:val="24"/>
        </w:rPr>
        <w:t>五、中评委办公室联系人及电话</w:t>
      </w:r>
    </w:p>
    <w:p>
      <w:pPr>
        <w:spacing w:line="360" w:lineRule="auto"/>
        <w:rPr>
          <w:rFonts w:asciiTheme="minorEastAsia" w:hAnsiTheme="minorEastAsia"/>
          <w:sz w:val="24"/>
          <w:szCs w:val="24"/>
        </w:rPr>
      </w:pPr>
      <w:r>
        <w:rPr>
          <w:rFonts w:hint="eastAsia" w:asciiTheme="minorEastAsia" w:hAnsiTheme="minorEastAsia"/>
          <w:sz w:val="24"/>
          <w:szCs w:val="24"/>
        </w:rPr>
        <w:t>　　联系人：徐老师、周老师，联系电话：62464282。</w:t>
      </w:r>
    </w:p>
    <w:p>
      <w:pPr>
        <w:spacing w:line="360" w:lineRule="auto"/>
        <w:ind w:firstLine="488"/>
        <w:rPr>
          <w:rFonts w:asciiTheme="minorEastAsia" w:hAnsiTheme="minorEastAsia"/>
          <w:sz w:val="24"/>
          <w:szCs w:val="24"/>
        </w:rPr>
      </w:pPr>
      <w:r>
        <w:rPr>
          <w:rFonts w:hint="eastAsia" w:asciiTheme="minorEastAsia" w:hAnsiTheme="minorEastAsia"/>
          <w:sz w:val="24"/>
          <w:szCs w:val="24"/>
        </w:rPr>
        <w:t>另外，其他材料请在申报后到“相关表格”中查看。</w:t>
      </w:r>
    </w:p>
    <w:p>
      <w:pPr>
        <w:spacing w:line="360" w:lineRule="auto"/>
        <w:ind w:firstLine="488"/>
        <w:rPr>
          <w:rFonts w:asciiTheme="minorEastAsia" w:hAnsiTheme="minorEastAsia"/>
          <w:sz w:val="24"/>
          <w:szCs w:val="24"/>
        </w:rPr>
      </w:pPr>
    </w:p>
    <w:p>
      <w:pPr>
        <w:spacing w:line="360" w:lineRule="auto"/>
        <w:jc w:val="right"/>
        <w:rPr>
          <w:rFonts w:asciiTheme="minorEastAsia" w:hAnsiTheme="minorEastAsia"/>
          <w:sz w:val="24"/>
          <w:szCs w:val="24"/>
        </w:rPr>
      </w:pPr>
      <w:r>
        <w:rPr>
          <w:rFonts w:hint="eastAsia" w:asciiTheme="minorEastAsia" w:hAnsiTheme="minorEastAsia"/>
          <w:sz w:val="24"/>
          <w:szCs w:val="24"/>
        </w:rPr>
        <w:t>上海现代建筑设计（集团）有限公司</w:t>
      </w:r>
    </w:p>
    <w:p>
      <w:pPr>
        <w:spacing w:line="360" w:lineRule="auto"/>
        <w:jc w:val="right"/>
        <w:rPr>
          <w:rFonts w:asciiTheme="minorEastAsia" w:hAnsiTheme="minorEastAsia"/>
          <w:sz w:val="24"/>
          <w:szCs w:val="24"/>
        </w:rPr>
      </w:pPr>
      <w:r>
        <w:rPr>
          <w:rFonts w:hint="eastAsia" w:asciiTheme="minorEastAsia" w:hAnsiTheme="minorEastAsia"/>
          <w:sz w:val="24"/>
          <w:szCs w:val="24"/>
        </w:rPr>
        <w:t>人力资源部（组织部）</w:t>
      </w:r>
    </w:p>
    <w:p>
      <w:pPr>
        <w:spacing w:line="360" w:lineRule="auto"/>
        <w:jc w:val="right"/>
        <w:rPr>
          <w:rFonts w:asciiTheme="minorEastAsia" w:hAnsiTheme="minorEastAsia"/>
          <w:sz w:val="24"/>
          <w:szCs w:val="24"/>
        </w:rPr>
      </w:pPr>
      <w:r>
        <w:rPr>
          <w:rFonts w:hint="eastAsia" w:asciiTheme="minorEastAsia" w:hAnsiTheme="minorEastAsia"/>
          <w:sz w:val="24"/>
          <w:szCs w:val="24"/>
        </w:rPr>
        <w:t>　　2025年4月</w:t>
      </w:r>
    </w:p>
    <w:p>
      <w:pPr>
        <w:spacing w:line="360" w:lineRule="auto"/>
        <w:rPr>
          <w:rFonts w:asciiTheme="minorEastAsia" w:hAnsi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inherit">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2A34"/>
    <w:rsid w:val="00000E55"/>
    <w:rsid w:val="00002642"/>
    <w:rsid w:val="00013BEF"/>
    <w:rsid w:val="00032B47"/>
    <w:rsid w:val="0004361F"/>
    <w:rsid w:val="00047A55"/>
    <w:rsid w:val="00056B1B"/>
    <w:rsid w:val="00070798"/>
    <w:rsid w:val="000736DE"/>
    <w:rsid w:val="000751C8"/>
    <w:rsid w:val="0008291E"/>
    <w:rsid w:val="00086126"/>
    <w:rsid w:val="00090308"/>
    <w:rsid w:val="000929D2"/>
    <w:rsid w:val="000A29BD"/>
    <w:rsid w:val="000A3F73"/>
    <w:rsid w:val="000B01F6"/>
    <w:rsid w:val="000B6DDA"/>
    <w:rsid w:val="000D42F1"/>
    <w:rsid w:val="000D504E"/>
    <w:rsid w:val="000D5B65"/>
    <w:rsid w:val="00103DC8"/>
    <w:rsid w:val="00105FD4"/>
    <w:rsid w:val="001148B4"/>
    <w:rsid w:val="001179A5"/>
    <w:rsid w:val="001209AE"/>
    <w:rsid w:val="00120B58"/>
    <w:rsid w:val="001246D0"/>
    <w:rsid w:val="00134DD5"/>
    <w:rsid w:val="00137BEC"/>
    <w:rsid w:val="00140205"/>
    <w:rsid w:val="00176780"/>
    <w:rsid w:val="00195275"/>
    <w:rsid w:val="001A0F17"/>
    <w:rsid w:val="001A57A0"/>
    <w:rsid w:val="001A6112"/>
    <w:rsid w:val="001C6913"/>
    <w:rsid w:val="001D2E14"/>
    <w:rsid w:val="00210E87"/>
    <w:rsid w:val="00225E98"/>
    <w:rsid w:val="0023375D"/>
    <w:rsid w:val="0023639D"/>
    <w:rsid w:val="002541CB"/>
    <w:rsid w:val="00267462"/>
    <w:rsid w:val="00270DD0"/>
    <w:rsid w:val="00271784"/>
    <w:rsid w:val="00277D81"/>
    <w:rsid w:val="0029502F"/>
    <w:rsid w:val="002A081D"/>
    <w:rsid w:val="002A25E1"/>
    <w:rsid w:val="002A748A"/>
    <w:rsid w:val="002B1A73"/>
    <w:rsid w:val="002B5C75"/>
    <w:rsid w:val="002C286D"/>
    <w:rsid w:val="002C6D37"/>
    <w:rsid w:val="002D267D"/>
    <w:rsid w:val="002D6695"/>
    <w:rsid w:val="00300048"/>
    <w:rsid w:val="00300088"/>
    <w:rsid w:val="00301CD9"/>
    <w:rsid w:val="00305EC4"/>
    <w:rsid w:val="003257D1"/>
    <w:rsid w:val="00332D84"/>
    <w:rsid w:val="00335409"/>
    <w:rsid w:val="0035218A"/>
    <w:rsid w:val="00355D64"/>
    <w:rsid w:val="00370F2D"/>
    <w:rsid w:val="00371E86"/>
    <w:rsid w:val="00374C00"/>
    <w:rsid w:val="003823AE"/>
    <w:rsid w:val="00386271"/>
    <w:rsid w:val="00390B65"/>
    <w:rsid w:val="003B0FC8"/>
    <w:rsid w:val="003C1169"/>
    <w:rsid w:val="003C57C2"/>
    <w:rsid w:val="003C79A3"/>
    <w:rsid w:val="003D1F09"/>
    <w:rsid w:val="003D6D1F"/>
    <w:rsid w:val="003E61DE"/>
    <w:rsid w:val="003F44C0"/>
    <w:rsid w:val="0040157F"/>
    <w:rsid w:val="0040742F"/>
    <w:rsid w:val="0041477D"/>
    <w:rsid w:val="004355D7"/>
    <w:rsid w:val="004360FB"/>
    <w:rsid w:val="0043671E"/>
    <w:rsid w:val="004436C5"/>
    <w:rsid w:val="00443E0E"/>
    <w:rsid w:val="00447780"/>
    <w:rsid w:val="00454DD3"/>
    <w:rsid w:val="00455D13"/>
    <w:rsid w:val="00460FD6"/>
    <w:rsid w:val="00474952"/>
    <w:rsid w:val="00482AF8"/>
    <w:rsid w:val="00486EE7"/>
    <w:rsid w:val="00497645"/>
    <w:rsid w:val="004A094A"/>
    <w:rsid w:val="004A1A6A"/>
    <w:rsid w:val="004A2E57"/>
    <w:rsid w:val="004C1AB0"/>
    <w:rsid w:val="004C3299"/>
    <w:rsid w:val="004D5077"/>
    <w:rsid w:val="004E11E4"/>
    <w:rsid w:val="00525C71"/>
    <w:rsid w:val="0054636D"/>
    <w:rsid w:val="0054699C"/>
    <w:rsid w:val="00553467"/>
    <w:rsid w:val="00554EE1"/>
    <w:rsid w:val="00573C89"/>
    <w:rsid w:val="00573D24"/>
    <w:rsid w:val="00576E29"/>
    <w:rsid w:val="0058043B"/>
    <w:rsid w:val="0058422D"/>
    <w:rsid w:val="00592E14"/>
    <w:rsid w:val="005A61B7"/>
    <w:rsid w:val="005A65FD"/>
    <w:rsid w:val="005E002F"/>
    <w:rsid w:val="005E244E"/>
    <w:rsid w:val="005F03D8"/>
    <w:rsid w:val="005F40ED"/>
    <w:rsid w:val="00607D4A"/>
    <w:rsid w:val="00616DEC"/>
    <w:rsid w:val="0063243D"/>
    <w:rsid w:val="00640150"/>
    <w:rsid w:val="00640836"/>
    <w:rsid w:val="00643A9E"/>
    <w:rsid w:val="006633E0"/>
    <w:rsid w:val="00663A83"/>
    <w:rsid w:val="00666DDC"/>
    <w:rsid w:val="0067739A"/>
    <w:rsid w:val="006A4D6A"/>
    <w:rsid w:val="006B5933"/>
    <w:rsid w:val="006D2034"/>
    <w:rsid w:val="006D55B8"/>
    <w:rsid w:val="006D5C44"/>
    <w:rsid w:val="006D71BF"/>
    <w:rsid w:val="006E39C8"/>
    <w:rsid w:val="006E4F05"/>
    <w:rsid w:val="00706E61"/>
    <w:rsid w:val="007075FA"/>
    <w:rsid w:val="0071553A"/>
    <w:rsid w:val="007412F3"/>
    <w:rsid w:val="00756357"/>
    <w:rsid w:val="00773AF0"/>
    <w:rsid w:val="00776C5B"/>
    <w:rsid w:val="007818B8"/>
    <w:rsid w:val="0078271E"/>
    <w:rsid w:val="00787024"/>
    <w:rsid w:val="007872A3"/>
    <w:rsid w:val="007A2F21"/>
    <w:rsid w:val="007B4124"/>
    <w:rsid w:val="007C1F94"/>
    <w:rsid w:val="007C4881"/>
    <w:rsid w:val="007C7677"/>
    <w:rsid w:val="007D0FF4"/>
    <w:rsid w:val="007E06F6"/>
    <w:rsid w:val="007E31B1"/>
    <w:rsid w:val="00800186"/>
    <w:rsid w:val="00812EBD"/>
    <w:rsid w:val="008146BD"/>
    <w:rsid w:val="00816E00"/>
    <w:rsid w:val="0082118F"/>
    <w:rsid w:val="00822AA4"/>
    <w:rsid w:val="00834F0A"/>
    <w:rsid w:val="008401A0"/>
    <w:rsid w:val="00840A15"/>
    <w:rsid w:val="00841F7F"/>
    <w:rsid w:val="00851ECE"/>
    <w:rsid w:val="00860964"/>
    <w:rsid w:val="00864F4E"/>
    <w:rsid w:val="008742F7"/>
    <w:rsid w:val="00884936"/>
    <w:rsid w:val="008B2A34"/>
    <w:rsid w:val="008B4FF9"/>
    <w:rsid w:val="008B5371"/>
    <w:rsid w:val="008C54E3"/>
    <w:rsid w:val="008D429B"/>
    <w:rsid w:val="008F492D"/>
    <w:rsid w:val="0092155F"/>
    <w:rsid w:val="00921EAF"/>
    <w:rsid w:val="0092515C"/>
    <w:rsid w:val="00931766"/>
    <w:rsid w:val="00931ABA"/>
    <w:rsid w:val="00955651"/>
    <w:rsid w:val="00981E64"/>
    <w:rsid w:val="00986702"/>
    <w:rsid w:val="00992B35"/>
    <w:rsid w:val="0099754A"/>
    <w:rsid w:val="009B07B4"/>
    <w:rsid w:val="009C7839"/>
    <w:rsid w:val="009D1FE6"/>
    <w:rsid w:val="009E60F9"/>
    <w:rsid w:val="009F4842"/>
    <w:rsid w:val="00A10228"/>
    <w:rsid w:val="00A1130B"/>
    <w:rsid w:val="00A16DF0"/>
    <w:rsid w:val="00A557FA"/>
    <w:rsid w:val="00A6017B"/>
    <w:rsid w:val="00A7104F"/>
    <w:rsid w:val="00A741F1"/>
    <w:rsid w:val="00A75DFD"/>
    <w:rsid w:val="00A847B7"/>
    <w:rsid w:val="00A92AC3"/>
    <w:rsid w:val="00A970F2"/>
    <w:rsid w:val="00AA3235"/>
    <w:rsid w:val="00AB7F8C"/>
    <w:rsid w:val="00AC2F05"/>
    <w:rsid w:val="00AC4047"/>
    <w:rsid w:val="00AD3C10"/>
    <w:rsid w:val="00AE1176"/>
    <w:rsid w:val="00AE3806"/>
    <w:rsid w:val="00AE7A39"/>
    <w:rsid w:val="00AF0DD9"/>
    <w:rsid w:val="00AF5ABD"/>
    <w:rsid w:val="00AF7035"/>
    <w:rsid w:val="00B00639"/>
    <w:rsid w:val="00B0467C"/>
    <w:rsid w:val="00B1469B"/>
    <w:rsid w:val="00B260F0"/>
    <w:rsid w:val="00B318CE"/>
    <w:rsid w:val="00B55656"/>
    <w:rsid w:val="00B564ED"/>
    <w:rsid w:val="00B60727"/>
    <w:rsid w:val="00B65C35"/>
    <w:rsid w:val="00B80ADB"/>
    <w:rsid w:val="00B81885"/>
    <w:rsid w:val="00B819DC"/>
    <w:rsid w:val="00B9393E"/>
    <w:rsid w:val="00BA685B"/>
    <w:rsid w:val="00BB6E20"/>
    <w:rsid w:val="00BC023D"/>
    <w:rsid w:val="00BC5445"/>
    <w:rsid w:val="00BD007F"/>
    <w:rsid w:val="00BD6E62"/>
    <w:rsid w:val="00BF6766"/>
    <w:rsid w:val="00C17EF7"/>
    <w:rsid w:val="00C459FE"/>
    <w:rsid w:val="00C77A2D"/>
    <w:rsid w:val="00CA13C6"/>
    <w:rsid w:val="00CA2C62"/>
    <w:rsid w:val="00CA59B6"/>
    <w:rsid w:val="00CB5971"/>
    <w:rsid w:val="00CB5BCD"/>
    <w:rsid w:val="00CC02F3"/>
    <w:rsid w:val="00CC680D"/>
    <w:rsid w:val="00CD0BE6"/>
    <w:rsid w:val="00CE61DA"/>
    <w:rsid w:val="00CE6A2A"/>
    <w:rsid w:val="00D02C5A"/>
    <w:rsid w:val="00D031AD"/>
    <w:rsid w:val="00D031B5"/>
    <w:rsid w:val="00D07324"/>
    <w:rsid w:val="00D07B1B"/>
    <w:rsid w:val="00D15B32"/>
    <w:rsid w:val="00D23E4A"/>
    <w:rsid w:val="00D24AB0"/>
    <w:rsid w:val="00D34130"/>
    <w:rsid w:val="00D40B3F"/>
    <w:rsid w:val="00D53183"/>
    <w:rsid w:val="00D55B3B"/>
    <w:rsid w:val="00D6269B"/>
    <w:rsid w:val="00D761D2"/>
    <w:rsid w:val="00DC582D"/>
    <w:rsid w:val="00DE23CD"/>
    <w:rsid w:val="00DE3594"/>
    <w:rsid w:val="00DE4379"/>
    <w:rsid w:val="00DE7BCB"/>
    <w:rsid w:val="00DF687E"/>
    <w:rsid w:val="00E20BD6"/>
    <w:rsid w:val="00E24EEC"/>
    <w:rsid w:val="00E26880"/>
    <w:rsid w:val="00E371D9"/>
    <w:rsid w:val="00E42D4E"/>
    <w:rsid w:val="00E44103"/>
    <w:rsid w:val="00E442A1"/>
    <w:rsid w:val="00E544BC"/>
    <w:rsid w:val="00E70889"/>
    <w:rsid w:val="00E70D47"/>
    <w:rsid w:val="00E82615"/>
    <w:rsid w:val="00E9329F"/>
    <w:rsid w:val="00E943C6"/>
    <w:rsid w:val="00EA5898"/>
    <w:rsid w:val="00EA6BDA"/>
    <w:rsid w:val="00EC0D96"/>
    <w:rsid w:val="00ED016C"/>
    <w:rsid w:val="00ED4A1A"/>
    <w:rsid w:val="00EE011D"/>
    <w:rsid w:val="00EE609C"/>
    <w:rsid w:val="00EF14A6"/>
    <w:rsid w:val="00F02A39"/>
    <w:rsid w:val="00F12FBF"/>
    <w:rsid w:val="00F17123"/>
    <w:rsid w:val="00F36EED"/>
    <w:rsid w:val="00F44031"/>
    <w:rsid w:val="00F46B95"/>
    <w:rsid w:val="00F622C1"/>
    <w:rsid w:val="00F679EE"/>
    <w:rsid w:val="00F72471"/>
    <w:rsid w:val="00F74802"/>
    <w:rsid w:val="00F76A26"/>
    <w:rsid w:val="00F94188"/>
    <w:rsid w:val="00F97D38"/>
    <w:rsid w:val="00FB13E7"/>
    <w:rsid w:val="00FC1721"/>
    <w:rsid w:val="00FC3532"/>
    <w:rsid w:val="00FC435F"/>
    <w:rsid w:val="00FD0667"/>
    <w:rsid w:val="06174158"/>
    <w:rsid w:val="08F22421"/>
    <w:rsid w:val="14015F8F"/>
    <w:rsid w:val="16826857"/>
    <w:rsid w:val="2D1C6ABA"/>
    <w:rsid w:val="37AC0724"/>
    <w:rsid w:val="391C2CC0"/>
    <w:rsid w:val="52E67933"/>
    <w:rsid w:val="557628DC"/>
    <w:rsid w:val="66022359"/>
    <w:rsid w:val="7E0208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0"/>
    <w:semiHidden/>
    <w:unhideWhenUsed/>
    <w:qFormat/>
    <w:uiPriority w:val="99"/>
    <w:pPr>
      <w:jc w:val="left"/>
    </w:pPr>
  </w:style>
  <w:style w:type="paragraph" w:styleId="3">
    <w:name w:val="Balloon Text"/>
    <w:basedOn w:val="1"/>
    <w:link w:val="9"/>
    <w:semiHidden/>
    <w:unhideWhenUsed/>
    <w:qFormat/>
    <w:uiPriority w:val="99"/>
    <w:rPr>
      <w:sz w:val="18"/>
      <w:szCs w:val="18"/>
    </w:rPr>
  </w:style>
  <w:style w:type="paragraph" w:styleId="4">
    <w:name w:val="annotation subject"/>
    <w:basedOn w:val="2"/>
    <w:next w:val="2"/>
    <w:link w:val="11"/>
    <w:semiHidden/>
    <w:unhideWhenUsed/>
    <w:qFormat/>
    <w:uiPriority w:val="99"/>
    <w:rPr>
      <w:b/>
      <w:bCs/>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styleId="8">
    <w:name w:val="annotation reference"/>
    <w:basedOn w:val="6"/>
    <w:semiHidden/>
    <w:unhideWhenUsed/>
    <w:qFormat/>
    <w:uiPriority w:val="99"/>
    <w:rPr>
      <w:sz w:val="21"/>
      <w:szCs w:val="21"/>
    </w:rPr>
  </w:style>
  <w:style w:type="character" w:customStyle="1" w:styleId="9">
    <w:name w:val="批注框文本 Char"/>
    <w:basedOn w:val="6"/>
    <w:link w:val="3"/>
    <w:semiHidden/>
    <w:qFormat/>
    <w:uiPriority w:val="99"/>
    <w:rPr>
      <w:sz w:val="18"/>
      <w:szCs w:val="18"/>
    </w:rPr>
  </w:style>
  <w:style w:type="character" w:customStyle="1" w:styleId="10">
    <w:name w:val="批注文字 Char"/>
    <w:basedOn w:val="6"/>
    <w:link w:val="2"/>
    <w:semiHidden/>
    <w:qFormat/>
    <w:uiPriority w:val="99"/>
  </w:style>
  <w:style w:type="character" w:customStyle="1" w:styleId="11">
    <w:name w:val="批注主题 Char"/>
    <w:basedOn w:val="10"/>
    <w:link w:val="4"/>
    <w:semiHidden/>
    <w:qFormat/>
    <w:uiPriority w:val="99"/>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581</Words>
  <Characters>3317</Characters>
  <Lines>27</Lines>
  <Paragraphs>7</Paragraphs>
  <TotalTime>1</TotalTime>
  <ScaleCrop>false</ScaleCrop>
  <LinksUpToDate>false</LinksUpToDate>
  <CharactersWithSpaces>3891</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2025-03-22T09:10:00Z</dcterms:created>
  <dc:creator>0204-31104华建集团人力资源部S-周烨</dc:creator>
  <cp:lastModifiedBy>未知</cp:lastModifiedBy>
  <cp:lastPrinted>2024-04-03T06:53:00Z</cp:lastPrinted>
  <dcterms:modified xsi:type="dcterms:W3CDTF">2025-05-04T08:15:57Z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4ADEBD1477F84C32954DAD6A751E1FF2</vt:lpwstr>
  </property>
</Properties>
</file>